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.719970703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MEMORANDUM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2.7197265625" w:line="240" w:lineRule="auto"/>
        <w:ind w:left="16.800079345703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Date: May 18, 2026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7.91870117187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To: Senate Steering Committee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7.919921875" w:line="240" w:lineRule="auto"/>
        <w:ind w:left="16.800079345703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From: Chaturi Edrisinha, PhD., BCBA-D, LBA-D 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7197265625" w:line="240" w:lineRule="auto"/>
        <w:ind w:left="5.27999877929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Chair, Senate Budget Review Committee (SBRC)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2.718505859375" w:line="240" w:lineRule="auto"/>
        <w:ind w:left="16.800079345703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RE: Senate Budget Review Committee Annual Report 2024-2025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1.12060546875" w:line="243.90263557434082" w:lineRule="auto"/>
        <w:ind w:left="13.440093994140625" w:right="621.8017578125" w:firstLine="3.3599853515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During the 2025–2026 academic year, the Senate Budget Review Committee (SBRC)  undertook the following activities: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2.415771484375" w:line="240" w:lineRule="auto"/>
        <w:ind w:left="377.76000976562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Program Proposal Reviews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7203369140625" w:line="239.90389823913574" w:lineRule="auto"/>
        <w:ind w:left="728.8800048828125" w:right="275.24169921875" w:hanging="8.88000488281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Committee reviewed and recommended approval of the following academic  programs: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8155517578125" w:line="243.90214920043945" w:lineRule="auto"/>
        <w:ind w:left="1089.5137023925781" w:right="1159.88159179687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.15999984741211"/>
          <w:szCs w:val="20.15999984741211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Doctor of Education, Applied Early Childhood Practice and Policy 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.15999984741211"/>
          <w:szCs w:val="20.15999984741211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Bachelor of Science in Engineering Technology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0185546875" w:line="240" w:lineRule="auto"/>
        <w:ind w:left="1089.5137023925781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.15999984741211"/>
          <w:szCs w:val="20.15999984741211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Bachelor of Science in Strategic Communication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7203369140625" w:line="240" w:lineRule="auto"/>
        <w:ind w:left="36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Meetings and Workload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9193115234375" w:line="243.90263557434082" w:lineRule="auto"/>
        <w:ind w:left="1451.9999694824219" w:right="448.760986328125" w:hanging="362.48626708984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.15999984741211"/>
          <w:szCs w:val="20.15999984741211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Committee convened 11 times during the academic year, with each  meeting lasting approximately 1.5 hours and held via Zoom.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817138671875" w:line="239.90389823913574" w:lineRule="auto"/>
        <w:ind w:left="1453.4400939941406" w:right="608.36181640625" w:hanging="363.9263916015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.15999984741211"/>
          <w:szCs w:val="20.15999984741211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addition to scheduled meetings, members devoted an estimated 2–3  hours of asynchronous review for each program proposal.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816162109375" w:line="240" w:lineRule="auto"/>
        <w:ind w:left="365.039978027343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Meeting Dates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7203369140625" w:line="240" w:lineRule="auto"/>
        <w:ind w:left="1089.5137023925781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.15999984741211"/>
          <w:szCs w:val="20.15999984741211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01-06-2026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919921875" w:line="240" w:lineRule="auto"/>
        <w:ind w:left="1089.5137023925781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.15999984741211"/>
          <w:szCs w:val="20.15999984741211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01-13-2026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7197265625" w:line="240" w:lineRule="auto"/>
        <w:ind w:left="1089.5137023925781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.15999984741211"/>
          <w:szCs w:val="20.15999984741211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01-15-2026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9205322265625" w:line="240" w:lineRule="auto"/>
        <w:ind w:left="1089.5137023925781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.15999984741211"/>
          <w:szCs w:val="20.15999984741211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01-21-2026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7197265625" w:line="240" w:lineRule="auto"/>
        <w:ind w:left="1089.5137023925781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.15999984741211"/>
          <w:szCs w:val="20.15999984741211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02-11-2026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7203369140625" w:line="240" w:lineRule="auto"/>
        <w:ind w:left="1089.5137023925781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.15999984741211"/>
          <w:szCs w:val="20.15999984741211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02-17-2026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919921875" w:line="240" w:lineRule="auto"/>
        <w:ind w:left="1089.5137023925781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.15999984741211"/>
          <w:szCs w:val="20.15999984741211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02-19-2026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72003173828125" w:line="240" w:lineRule="auto"/>
        <w:ind w:left="1089.5137023925781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.15999984741211"/>
          <w:szCs w:val="20.15999984741211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02-23-2026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919921875" w:line="240" w:lineRule="auto"/>
        <w:ind w:left="1089.5137023925781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.15999984741211"/>
          <w:szCs w:val="20.15999984741211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03-11-2026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72003173828125" w:line="240" w:lineRule="auto"/>
        <w:ind w:left="1089.5137023925781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.15999984741211"/>
          <w:szCs w:val="20.15999984741211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04-01-2026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72003173828125" w:line="240" w:lineRule="auto"/>
        <w:ind w:left="1089.5137023925781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.15999984741211"/>
          <w:szCs w:val="20.15999984741211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04-15-2026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6.31988525390625" w:line="243.90252113342285" w:lineRule="auto"/>
        <w:ind w:left="376.7999267578125" w:right="146.602783203125" w:hanging="9.839935302734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SBRC, in conjunction with the SPRC, participated in the annual university budget  briefing on 02-23-2026, delivered by President Ora Pescovitz, and Vice President for  Finance and Administration Stephen Mackey.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6.4173889160156" w:line="243.90252113342285" w:lineRule="auto"/>
        <w:ind w:left="374.639892578125" w:right="320.601806640625" w:hanging="8.399810791015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Additionally, SBRC met with Vice President for Finance and Administration Stephen  Mackey, on March 11, 2026, to debrief the SBRC on the proposed Data Center.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1.90300941467285" w:lineRule="auto"/>
        <w:ind w:left="367.2782897949219" w:right="0" w:firstLine="7.43988037109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Michele St. Denis served as a representative from the Provost Office and an Ex-officio  member of SBRC. Julie Hamilton from the Provost office attended as the liaison starting  April 1. 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8.41796875" w:line="243.90263557434082" w:lineRule="auto"/>
        <w:ind w:left="367.9981994628906" w:right="174.48486328125" w:firstLine="4.9987792968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SBRC Chair for 2025-2026, Chaturi Edrisinha, agreed to serve as SBRC Chair again in  2026-2027. 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6.81640625" w:line="240" w:lineRule="auto"/>
        <w:ind w:left="370.60180664062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22222"/>
          <w:sz w:val="24"/>
          <w:szCs w:val="24"/>
          <w:highlight w:val="white"/>
          <w:u w:val="none"/>
          <w:vertAlign w:val="baseline"/>
          <w:rtl w:val="0"/>
        </w:rPr>
        <w:t xml:space="preserve">Members of the SBRC: 2025-2026 AY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5.52001953125" w:line="240" w:lineRule="auto"/>
        <w:ind w:left="362.9219055175781" w:right="0" w:firstLine="0"/>
        <w:jc w:val="left"/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2024-2027 Faculty Appointments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918701171875" w:line="240" w:lineRule="auto"/>
        <w:ind w:left="372.28179931640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Chaturi Edrishinha (SEHS) CHAIR 2026-2027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7197265625" w:line="240" w:lineRule="auto"/>
        <w:ind w:left="365.3218078613281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Wendi Johnson (CAS- 2)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7197265625" w:line="240" w:lineRule="auto"/>
        <w:ind w:left="383.8018798828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Holly Franson (SON)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0.718994140625" w:line="240" w:lineRule="auto"/>
        <w:ind w:left="362.9219055175781" w:right="0" w:firstLine="0"/>
        <w:jc w:val="left"/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2025-2028 Faculty Appointments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7203369140625" w:line="240" w:lineRule="auto"/>
        <w:ind w:left="366.2818908691406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Amanda Lynch (SHS)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919921875" w:line="240" w:lineRule="auto"/>
        <w:ind w:left="383.8018798828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Katie Greer (UL)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7197265625" w:line="243.90263557434082" w:lineRule="auto"/>
        <w:ind w:left="362.9219055175781" w:right="1695.8587646484375" w:firstLine="20.879974365234375"/>
        <w:jc w:val="left"/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Peter Felsman (CAS 3) 2026-2027 for Elizabeth Kattner (CAS 3 - SMTD) 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2026-2029 Faculty Appointments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017333984375" w:line="240" w:lineRule="auto"/>
        <w:ind w:left="366.2818908691406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Amy Rutledge (SBA)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7197265625" w:line="240" w:lineRule="auto"/>
        <w:ind w:left="366.2818908691406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Ali Malik (SECS)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7203369140625" w:line="240" w:lineRule="auto"/>
        <w:ind w:left="383.8018798828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Harvey (Xianggui) Qu (CAS-1)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9205322265625" w:line="240" w:lineRule="auto"/>
        <w:ind w:left="366.2818908691406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Victoria Lucia (SOM)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7197265625" w:line="240" w:lineRule="auto"/>
        <w:ind w:left="362.9219055175781" w:right="0" w:firstLine="0"/>
        <w:jc w:val="left"/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2024-2027 Appointment (AP Assembly)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7197265625" w:line="240" w:lineRule="auto"/>
        <w:ind w:left="373.72177124023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Matt Holtz (Advancement) for Dan Arnold (e-Lis)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919921875" w:line="240" w:lineRule="auto"/>
        <w:ind w:left="365.3218078613281" w:right="0" w:firstLine="0"/>
        <w:jc w:val="left"/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Staff and Ex-Officio Appointments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7203369140625" w:line="240" w:lineRule="auto"/>
        <w:ind w:left="373.72177124023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Michele Knox (Director of Budget and Financial Planning)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7203369140625" w:line="240" w:lineRule="auto"/>
        <w:ind w:left="366.2818908691406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Amy Banes-Berceli (EVPAA Designee)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0.7196044921875" w:line="240" w:lineRule="auto"/>
        <w:ind w:left="6.00006103515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SBRC e-space/drive</w:t>
      </w:r>
    </w:p>
    <w:sectPr>
      <w:pgSz w:h="15840" w:w="12240" w:orient="portrait"/>
      <w:pgMar w:bottom="1646.3998413085938" w:top="1430.400390625" w:left="1444.7999572753906" w:right="1388.679199218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