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E2D42" w14:textId="77777777" w:rsidR="0088641A" w:rsidRPr="00421838" w:rsidRDefault="0088641A" w:rsidP="0088641A">
      <w:pPr>
        <w:spacing w:line="523" w:lineRule="auto"/>
        <w:jc w:val="center"/>
        <w:rPr>
          <w:rFonts w:ascii="Times New Roman" w:eastAsia="Times New Roman" w:hAnsi="Times New Roman" w:cs="Times New Roman"/>
          <w:sz w:val="24"/>
          <w:szCs w:val="24"/>
        </w:rPr>
      </w:pPr>
    </w:p>
    <w:p w14:paraId="339B21D5"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 xml:space="preserve">  </w:t>
      </w:r>
    </w:p>
    <w:p w14:paraId="616DAEBC" w14:textId="77777777" w:rsidR="0088641A" w:rsidRPr="00421838" w:rsidRDefault="0088641A" w:rsidP="0088641A">
      <w:pPr>
        <w:spacing w:line="523" w:lineRule="auto"/>
        <w:jc w:val="center"/>
        <w:rPr>
          <w:rFonts w:ascii="Times New Roman" w:eastAsia="Times New Roman" w:hAnsi="Times New Roman" w:cs="Times New Roman"/>
          <w:b/>
          <w:sz w:val="24"/>
          <w:szCs w:val="24"/>
        </w:rPr>
      </w:pPr>
      <w:r w:rsidRPr="00421838">
        <w:rPr>
          <w:rFonts w:ascii="Times New Roman" w:eastAsia="Times New Roman" w:hAnsi="Times New Roman" w:cs="Times New Roman"/>
          <w:b/>
          <w:sz w:val="24"/>
          <w:szCs w:val="24"/>
        </w:rPr>
        <w:t xml:space="preserve">Assessing the Effectiveness of Projection-Based Augmented Reality Simulation When Teaching Cricothyrotomy to Certified Registered Nurse Anesthetists.  </w:t>
      </w:r>
    </w:p>
    <w:p w14:paraId="47D551A4"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 xml:space="preserve"> by</w:t>
      </w:r>
    </w:p>
    <w:p w14:paraId="5DA9D745"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 xml:space="preserve">Zach </w:t>
      </w:r>
      <w:proofErr w:type="spellStart"/>
      <w:r w:rsidRPr="00421838">
        <w:rPr>
          <w:rFonts w:ascii="Times New Roman" w:eastAsia="Times New Roman" w:hAnsi="Times New Roman" w:cs="Times New Roman"/>
          <w:sz w:val="24"/>
          <w:szCs w:val="24"/>
        </w:rPr>
        <w:t>Frenette</w:t>
      </w:r>
      <w:proofErr w:type="spellEnd"/>
      <w:r w:rsidRPr="00421838">
        <w:rPr>
          <w:rFonts w:ascii="Times New Roman" w:eastAsia="Times New Roman" w:hAnsi="Times New Roman" w:cs="Times New Roman"/>
          <w:sz w:val="24"/>
          <w:szCs w:val="24"/>
        </w:rPr>
        <w:t xml:space="preserve">, BSN, RN and Brendan </w:t>
      </w:r>
      <w:proofErr w:type="spellStart"/>
      <w:r w:rsidRPr="00421838">
        <w:rPr>
          <w:rFonts w:ascii="Times New Roman" w:eastAsia="Times New Roman" w:hAnsi="Times New Roman" w:cs="Times New Roman"/>
          <w:sz w:val="24"/>
          <w:szCs w:val="24"/>
        </w:rPr>
        <w:t>Pytlak</w:t>
      </w:r>
      <w:proofErr w:type="spellEnd"/>
      <w:r w:rsidRPr="00421838">
        <w:rPr>
          <w:rFonts w:ascii="Times New Roman" w:eastAsia="Times New Roman" w:hAnsi="Times New Roman" w:cs="Times New Roman"/>
          <w:sz w:val="24"/>
          <w:szCs w:val="24"/>
        </w:rPr>
        <w:t>, BSN, RN</w:t>
      </w:r>
    </w:p>
    <w:p w14:paraId="57B451F9"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 xml:space="preserve">A report submitted in partial fulfillment of the </w:t>
      </w:r>
    </w:p>
    <w:p w14:paraId="3BB9AA7A"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 xml:space="preserve">requirements for the degree of </w:t>
      </w:r>
    </w:p>
    <w:p w14:paraId="5CCDEF2C" w14:textId="77777777" w:rsidR="0088641A" w:rsidRPr="00421838" w:rsidRDefault="0088641A" w:rsidP="0088641A">
      <w:pPr>
        <w:spacing w:line="523" w:lineRule="auto"/>
        <w:jc w:val="center"/>
        <w:rPr>
          <w:rFonts w:ascii="Times New Roman" w:eastAsia="Times New Roman" w:hAnsi="Times New Roman" w:cs="Times New Roman"/>
          <w:sz w:val="24"/>
          <w:szCs w:val="24"/>
        </w:rPr>
      </w:pPr>
      <w:proofErr w:type="gramStart"/>
      <w:r w:rsidRPr="00421838">
        <w:rPr>
          <w:rFonts w:ascii="Times New Roman" w:eastAsia="Times New Roman" w:hAnsi="Times New Roman" w:cs="Times New Roman"/>
          <w:sz w:val="24"/>
          <w:szCs w:val="24"/>
        </w:rPr>
        <w:t>DOCTORATE OF NURSING</w:t>
      </w:r>
      <w:proofErr w:type="gramEnd"/>
      <w:r w:rsidRPr="00421838">
        <w:rPr>
          <w:rFonts w:ascii="Times New Roman" w:eastAsia="Times New Roman" w:hAnsi="Times New Roman" w:cs="Times New Roman"/>
          <w:sz w:val="24"/>
          <w:szCs w:val="24"/>
        </w:rPr>
        <w:t xml:space="preserve"> PRACTICE</w:t>
      </w:r>
    </w:p>
    <w:p w14:paraId="635D578E"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2023</w:t>
      </w:r>
    </w:p>
    <w:p w14:paraId="0EF4C3FF"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Oakland University</w:t>
      </w:r>
    </w:p>
    <w:p w14:paraId="5F0FC635" w14:textId="77777777" w:rsidR="0088641A" w:rsidRPr="00421838" w:rsidRDefault="0088641A" w:rsidP="0088641A">
      <w:pPr>
        <w:spacing w:line="523" w:lineRule="auto"/>
        <w:jc w:val="center"/>
        <w:rPr>
          <w:rFonts w:ascii="Times New Roman" w:eastAsia="Times New Roman" w:hAnsi="Times New Roman" w:cs="Times New Roman"/>
          <w:sz w:val="24"/>
          <w:szCs w:val="24"/>
        </w:rPr>
      </w:pPr>
      <w:r w:rsidRPr="00421838">
        <w:rPr>
          <w:rFonts w:ascii="Times New Roman" w:eastAsia="Times New Roman" w:hAnsi="Times New Roman" w:cs="Times New Roman"/>
          <w:sz w:val="24"/>
          <w:szCs w:val="24"/>
        </w:rPr>
        <w:t>Rochester, Michigan</w:t>
      </w:r>
    </w:p>
    <w:p w14:paraId="33E091DC" w14:textId="5782F650" w:rsidR="00D401A7" w:rsidRDefault="00D401A7">
      <w:pPr>
        <w:spacing w:line="523" w:lineRule="auto"/>
        <w:jc w:val="center"/>
        <w:rPr>
          <w:rFonts w:ascii="Times New Roman" w:eastAsia="Times New Roman" w:hAnsi="Times New Roman" w:cs="Times New Roman"/>
          <w:b/>
          <w:sz w:val="24"/>
          <w:szCs w:val="24"/>
        </w:rPr>
      </w:pPr>
    </w:p>
    <w:p w14:paraId="5630527F" w14:textId="16D9C082" w:rsidR="0088641A" w:rsidRDefault="0088641A">
      <w:pPr>
        <w:spacing w:line="523" w:lineRule="auto"/>
        <w:jc w:val="center"/>
        <w:rPr>
          <w:rFonts w:ascii="Times New Roman" w:eastAsia="Times New Roman" w:hAnsi="Times New Roman" w:cs="Times New Roman"/>
          <w:b/>
          <w:sz w:val="24"/>
          <w:szCs w:val="24"/>
        </w:rPr>
      </w:pPr>
    </w:p>
    <w:p w14:paraId="3ABB040F" w14:textId="33977C35" w:rsidR="0088641A" w:rsidRDefault="0088641A">
      <w:pPr>
        <w:spacing w:line="523" w:lineRule="auto"/>
        <w:jc w:val="center"/>
        <w:rPr>
          <w:rFonts w:ascii="Times New Roman" w:eastAsia="Times New Roman" w:hAnsi="Times New Roman" w:cs="Times New Roman"/>
          <w:b/>
          <w:sz w:val="24"/>
          <w:szCs w:val="24"/>
        </w:rPr>
      </w:pPr>
    </w:p>
    <w:p w14:paraId="5584BF0A" w14:textId="60A1CEE7" w:rsidR="0088641A" w:rsidRDefault="0088641A">
      <w:pPr>
        <w:spacing w:line="523" w:lineRule="auto"/>
        <w:jc w:val="center"/>
        <w:rPr>
          <w:rFonts w:ascii="Times New Roman" w:eastAsia="Times New Roman" w:hAnsi="Times New Roman" w:cs="Times New Roman"/>
          <w:b/>
          <w:sz w:val="24"/>
          <w:szCs w:val="24"/>
        </w:rPr>
      </w:pPr>
    </w:p>
    <w:p w14:paraId="3A8B5FD1" w14:textId="0FE79DFC" w:rsidR="0088641A" w:rsidRDefault="0088641A">
      <w:pPr>
        <w:spacing w:line="523" w:lineRule="auto"/>
        <w:jc w:val="center"/>
        <w:rPr>
          <w:rFonts w:ascii="Times New Roman" w:eastAsia="Times New Roman" w:hAnsi="Times New Roman" w:cs="Times New Roman"/>
          <w:b/>
          <w:sz w:val="24"/>
          <w:szCs w:val="24"/>
        </w:rPr>
      </w:pPr>
    </w:p>
    <w:p w14:paraId="43A483D8" w14:textId="1962D142" w:rsidR="0088641A" w:rsidRDefault="0088641A">
      <w:pPr>
        <w:spacing w:line="523" w:lineRule="auto"/>
        <w:jc w:val="center"/>
        <w:rPr>
          <w:rFonts w:ascii="Times New Roman" w:eastAsia="Times New Roman" w:hAnsi="Times New Roman" w:cs="Times New Roman"/>
          <w:b/>
          <w:sz w:val="24"/>
          <w:szCs w:val="24"/>
        </w:rPr>
      </w:pPr>
    </w:p>
    <w:p w14:paraId="7F029801" w14:textId="77777777" w:rsidR="0088641A" w:rsidRDefault="0088641A">
      <w:pPr>
        <w:spacing w:line="523" w:lineRule="auto"/>
        <w:jc w:val="center"/>
        <w:rPr>
          <w:rFonts w:ascii="Times New Roman" w:eastAsia="Times New Roman" w:hAnsi="Times New Roman" w:cs="Times New Roman"/>
          <w:b/>
          <w:sz w:val="24"/>
          <w:szCs w:val="24"/>
        </w:rPr>
      </w:pPr>
    </w:p>
    <w:p w14:paraId="4256E91E" w14:textId="3FC93E70" w:rsidR="00D401A7" w:rsidRDefault="00D401A7">
      <w:pPr>
        <w:spacing w:line="523" w:lineRule="auto"/>
        <w:rPr>
          <w:rFonts w:ascii="Times New Roman" w:eastAsia="Times New Roman" w:hAnsi="Times New Roman" w:cs="Times New Roman"/>
          <w:b/>
          <w:sz w:val="24"/>
          <w:szCs w:val="24"/>
        </w:rPr>
      </w:pPr>
    </w:p>
    <w:p w14:paraId="266D2754" w14:textId="77777777" w:rsidR="00AB79B3" w:rsidRDefault="00AB79B3">
      <w:pPr>
        <w:spacing w:line="523" w:lineRule="auto"/>
        <w:rPr>
          <w:rFonts w:ascii="Times New Roman" w:eastAsia="Times New Roman" w:hAnsi="Times New Roman" w:cs="Times New Roman"/>
          <w:sz w:val="24"/>
          <w:szCs w:val="24"/>
        </w:rPr>
      </w:pPr>
    </w:p>
    <w:p w14:paraId="1B39F4AC" w14:textId="77777777" w:rsidR="00D401A7" w:rsidRDefault="00D401A7">
      <w:pPr>
        <w:spacing w:line="523" w:lineRule="auto"/>
        <w:rPr>
          <w:rFonts w:ascii="Times New Roman" w:eastAsia="Times New Roman" w:hAnsi="Times New Roman" w:cs="Times New Roman"/>
          <w:sz w:val="24"/>
          <w:szCs w:val="24"/>
        </w:rPr>
      </w:pPr>
    </w:p>
    <w:p w14:paraId="196C3CFC" w14:textId="77777777" w:rsidR="00D401A7" w:rsidRDefault="00000000">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ACKNOWLEDGMENTS AND DEDICATIONS</w:t>
      </w:r>
    </w:p>
    <w:p w14:paraId="686C427F"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would like to acknowledge the following for their contribution to this research project:</w:t>
      </w:r>
    </w:p>
    <w:p w14:paraId="1C3FEFC2" w14:textId="77777777" w:rsidR="00D401A7" w:rsidRDefault="00D401A7">
      <w:pPr>
        <w:spacing w:line="523" w:lineRule="auto"/>
        <w:rPr>
          <w:rFonts w:ascii="Times New Roman" w:eastAsia="Times New Roman" w:hAnsi="Times New Roman" w:cs="Times New Roman"/>
          <w:sz w:val="24"/>
          <w:szCs w:val="24"/>
        </w:rPr>
      </w:pPr>
    </w:p>
    <w:p w14:paraId="5BDDB559"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chair, Dr. Laura Rodgers, for your support and guidance throughout this project from conception to dissemination.</w:t>
      </w:r>
    </w:p>
    <w:p w14:paraId="6383094C"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of the Oakland University’s Nurse Anesthesia Program, Dr. Linda McDonald, for coordinating with MANA and allowing us to be active participants for the Fall conference. </w:t>
      </w:r>
    </w:p>
    <w:p w14:paraId="35088D04" w14:textId="77777777" w:rsidR="00D401A7" w:rsidRDefault="00D401A7">
      <w:pPr>
        <w:spacing w:line="523" w:lineRule="auto"/>
        <w:rPr>
          <w:rFonts w:ascii="Times New Roman" w:eastAsia="Times New Roman" w:hAnsi="Times New Roman" w:cs="Times New Roman"/>
          <w:sz w:val="24"/>
          <w:szCs w:val="24"/>
        </w:rPr>
      </w:pPr>
    </w:p>
    <w:p w14:paraId="24169537"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dedicate this project to my wife, Emily, my parents, and Eugene. – Zach </w:t>
      </w:r>
      <w:proofErr w:type="spellStart"/>
      <w:r>
        <w:rPr>
          <w:rFonts w:ascii="Times New Roman" w:eastAsia="Times New Roman" w:hAnsi="Times New Roman" w:cs="Times New Roman"/>
          <w:sz w:val="24"/>
          <w:szCs w:val="24"/>
        </w:rPr>
        <w:t>Frenette</w:t>
      </w:r>
      <w:proofErr w:type="spellEnd"/>
      <w:r>
        <w:rPr>
          <w:rFonts w:ascii="Times New Roman" w:eastAsia="Times New Roman" w:hAnsi="Times New Roman" w:cs="Times New Roman"/>
          <w:sz w:val="24"/>
          <w:szCs w:val="24"/>
        </w:rPr>
        <w:t xml:space="preserve"> </w:t>
      </w:r>
    </w:p>
    <w:p w14:paraId="116732C1"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dedicate this project to my fiancé, Erica, and my parents. – Brendan </w:t>
      </w:r>
      <w:proofErr w:type="spellStart"/>
      <w:r>
        <w:rPr>
          <w:rFonts w:ascii="Times New Roman" w:eastAsia="Times New Roman" w:hAnsi="Times New Roman" w:cs="Times New Roman"/>
          <w:sz w:val="24"/>
          <w:szCs w:val="24"/>
        </w:rPr>
        <w:t>Pytlak</w:t>
      </w:r>
      <w:proofErr w:type="spellEnd"/>
    </w:p>
    <w:p w14:paraId="3F12CC70" w14:textId="77777777" w:rsidR="00D401A7" w:rsidRDefault="00D401A7">
      <w:pPr>
        <w:spacing w:line="523" w:lineRule="auto"/>
        <w:rPr>
          <w:rFonts w:ascii="Times New Roman" w:eastAsia="Times New Roman" w:hAnsi="Times New Roman" w:cs="Times New Roman"/>
          <w:sz w:val="24"/>
          <w:szCs w:val="24"/>
        </w:rPr>
      </w:pPr>
    </w:p>
    <w:p w14:paraId="4F39B29D" w14:textId="77777777" w:rsidR="00D401A7" w:rsidRDefault="00D401A7">
      <w:pPr>
        <w:spacing w:line="523" w:lineRule="auto"/>
        <w:jc w:val="center"/>
        <w:rPr>
          <w:rFonts w:ascii="Times New Roman" w:eastAsia="Times New Roman" w:hAnsi="Times New Roman" w:cs="Times New Roman"/>
          <w:sz w:val="24"/>
          <w:szCs w:val="24"/>
        </w:rPr>
      </w:pPr>
    </w:p>
    <w:p w14:paraId="73860746" w14:textId="77777777" w:rsidR="00D401A7" w:rsidRDefault="00D401A7">
      <w:pPr>
        <w:spacing w:line="523" w:lineRule="auto"/>
        <w:jc w:val="center"/>
        <w:rPr>
          <w:rFonts w:ascii="Times New Roman" w:eastAsia="Times New Roman" w:hAnsi="Times New Roman" w:cs="Times New Roman"/>
          <w:sz w:val="24"/>
          <w:szCs w:val="24"/>
        </w:rPr>
      </w:pPr>
    </w:p>
    <w:p w14:paraId="77D20B40" w14:textId="77777777" w:rsidR="00D401A7" w:rsidRDefault="00D401A7">
      <w:pPr>
        <w:spacing w:line="523" w:lineRule="auto"/>
        <w:jc w:val="center"/>
        <w:rPr>
          <w:rFonts w:ascii="Times New Roman" w:eastAsia="Times New Roman" w:hAnsi="Times New Roman" w:cs="Times New Roman"/>
          <w:sz w:val="24"/>
          <w:szCs w:val="24"/>
        </w:rPr>
      </w:pPr>
    </w:p>
    <w:p w14:paraId="50069C25" w14:textId="77777777" w:rsidR="00D401A7" w:rsidRDefault="00D401A7">
      <w:pPr>
        <w:spacing w:line="523" w:lineRule="auto"/>
        <w:jc w:val="center"/>
        <w:rPr>
          <w:rFonts w:ascii="Times New Roman" w:eastAsia="Times New Roman" w:hAnsi="Times New Roman" w:cs="Times New Roman"/>
          <w:sz w:val="24"/>
          <w:szCs w:val="24"/>
        </w:rPr>
      </w:pPr>
    </w:p>
    <w:p w14:paraId="28A1280F" w14:textId="77777777" w:rsidR="00D401A7" w:rsidRDefault="00D401A7">
      <w:pPr>
        <w:spacing w:line="523" w:lineRule="auto"/>
        <w:jc w:val="center"/>
        <w:rPr>
          <w:rFonts w:ascii="Times New Roman" w:eastAsia="Times New Roman" w:hAnsi="Times New Roman" w:cs="Times New Roman"/>
          <w:sz w:val="24"/>
          <w:szCs w:val="24"/>
        </w:rPr>
      </w:pPr>
    </w:p>
    <w:p w14:paraId="498AA183" w14:textId="77777777" w:rsidR="00D401A7" w:rsidRDefault="00D401A7">
      <w:pPr>
        <w:spacing w:line="523" w:lineRule="auto"/>
        <w:jc w:val="center"/>
        <w:rPr>
          <w:rFonts w:ascii="Times New Roman" w:eastAsia="Times New Roman" w:hAnsi="Times New Roman" w:cs="Times New Roman"/>
          <w:sz w:val="24"/>
          <w:szCs w:val="24"/>
        </w:rPr>
      </w:pPr>
    </w:p>
    <w:p w14:paraId="6663052A" w14:textId="77777777" w:rsidR="00D401A7" w:rsidRDefault="00D401A7">
      <w:pPr>
        <w:spacing w:line="523" w:lineRule="auto"/>
        <w:jc w:val="center"/>
        <w:rPr>
          <w:rFonts w:ascii="Times New Roman" w:eastAsia="Times New Roman" w:hAnsi="Times New Roman" w:cs="Times New Roman"/>
          <w:sz w:val="24"/>
          <w:szCs w:val="24"/>
        </w:rPr>
      </w:pPr>
    </w:p>
    <w:p w14:paraId="7FCA0FA5" w14:textId="77777777" w:rsidR="00D401A7" w:rsidRDefault="00D401A7">
      <w:pPr>
        <w:spacing w:line="523" w:lineRule="auto"/>
        <w:jc w:val="center"/>
        <w:rPr>
          <w:rFonts w:ascii="Times New Roman" w:eastAsia="Times New Roman" w:hAnsi="Times New Roman" w:cs="Times New Roman"/>
          <w:sz w:val="24"/>
          <w:szCs w:val="24"/>
        </w:rPr>
      </w:pPr>
    </w:p>
    <w:p w14:paraId="05C722A8" w14:textId="77777777" w:rsidR="00D401A7" w:rsidRDefault="00D401A7">
      <w:pPr>
        <w:spacing w:line="523" w:lineRule="auto"/>
        <w:jc w:val="center"/>
        <w:rPr>
          <w:rFonts w:ascii="Times New Roman" w:eastAsia="Times New Roman" w:hAnsi="Times New Roman" w:cs="Times New Roman"/>
          <w:sz w:val="24"/>
          <w:szCs w:val="24"/>
        </w:rPr>
      </w:pPr>
    </w:p>
    <w:p w14:paraId="4389484B" w14:textId="77777777" w:rsidR="00D401A7" w:rsidRDefault="00D401A7">
      <w:pPr>
        <w:spacing w:line="523" w:lineRule="auto"/>
        <w:jc w:val="center"/>
        <w:rPr>
          <w:rFonts w:ascii="Times New Roman" w:eastAsia="Times New Roman" w:hAnsi="Times New Roman" w:cs="Times New Roman"/>
          <w:sz w:val="24"/>
          <w:szCs w:val="24"/>
        </w:rPr>
      </w:pPr>
    </w:p>
    <w:p w14:paraId="04A7471B" w14:textId="77777777" w:rsidR="00D401A7" w:rsidRDefault="00000000">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ABSTRACT</w:t>
      </w:r>
    </w:p>
    <w:p w14:paraId="205F92D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 cannot-intubate, cannot-ventilate (CICV) scenario remains a core anesthesia competency; however, technical, and human factors, rooted in certified registered nurse anesthetists (CRNA) perceptions and skill proficiency, contribute to poor success rates and negative outcomes related to reestablishing an airway via cricothyrotomy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Silverio et al., 2021). Despite the rarity of CICV events requiring cricothyrotomy (1 in 50,000), they result in 25% of anesthesia-related deaths, with more than two-thirds performed too late to change outcome (</w:t>
      </w:r>
      <w:proofErr w:type="spellStart"/>
      <w:r>
        <w:rPr>
          <w:rFonts w:ascii="Times New Roman" w:eastAsia="Times New Roman" w:hAnsi="Times New Roman" w:cs="Times New Roman"/>
          <w:sz w:val="24"/>
          <w:szCs w:val="24"/>
        </w:rPr>
        <w:t>Onrubia</w:t>
      </w:r>
      <w:proofErr w:type="spellEnd"/>
      <w:r>
        <w:rPr>
          <w:rFonts w:ascii="Times New Roman" w:eastAsia="Times New Roman" w:hAnsi="Times New Roman" w:cs="Times New Roman"/>
          <w:sz w:val="24"/>
          <w:szCs w:val="24"/>
        </w:rPr>
        <w:t xml:space="preserve"> et al., 2018; </w:t>
      </w: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et al., 2019). Traditional simulation cannot adequately fill provider education demands due to cost; therefore, augmented reality (AR) was introduced as an extension to traditional simulation and remains a novel, yet promising, development for healthcare education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w:t>
      </w:r>
    </w:p>
    <w:p w14:paraId="0D90957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asked, CRNAs noted a desire for proficiency in this skill, therefore we investigated whether CRNAs would demonstrate greater confidence, knowledge, and skill in performing a cricothyrotomy, after education via AR technology.</w:t>
      </w:r>
      <w:r>
        <w:rPr>
          <w:sz w:val="16"/>
          <w:szCs w:val="16"/>
        </w:rPr>
        <w:t xml:space="preserve"> </w:t>
      </w:r>
      <w:r>
        <w:rPr>
          <w:rFonts w:ascii="Times New Roman" w:eastAsia="Times New Roman" w:hAnsi="Times New Roman" w:cs="Times New Roman"/>
          <w:sz w:val="24"/>
          <w:szCs w:val="24"/>
        </w:rPr>
        <w:t>Through an interactive simulation workshop with 24 participants, data analysis revealed a statistically significant difference in participant’s composite pre- and post-educational confidence scores (Mean 2.90 to 4.26, p &lt; .001) and knowledge scores (Mean 6.04 to 8.68/10, p &lt; .001). Skill competence was assessed using a standardized skill checklist, revealing an average score of 7.36 (out of 8). Findings suggest that augmented reality simulation is a reasonable educational technique for improving a CRNA’s perception and ability to safely perform a cricothyrotomy, thus increasing adherence to the difficult airway algorithm and improving patient outcomes.</w:t>
      </w:r>
    </w:p>
    <w:p w14:paraId="7EC22CB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Keywords</w:t>
      </w:r>
      <w:r>
        <w:rPr>
          <w:rFonts w:ascii="Times New Roman" w:eastAsia="Times New Roman" w:hAnsi="Times New Roman" w:cs="Times New Roman"/>
          <w:sz w:val="24"/>
          <w:szCs w:val="24"/>
        </w:rPr>
        <w:t xml:space="preserve">: certified registered nurse anesthetist, CRNA, anesthesia, confidence, knowledge, skill, perceptions, simulation, augmented reality, cricothyrotomy </w:t>
      </w:r>
    </w:p>
    <w:p w14:paraId="7A3AAE23" w14:textId="77777777" w:rsidR="00D401A7" w:rsidRDefault="00000000">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OF CONTENTS</w:t>
      </w:r>
    </w:p>
    <w:p w14:paraId="38377B83"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AND SIGNIFICANCE………………………………………………………...5</w:t>
      </w:r>
    </w:p>
    <w:p w14:paraId="438A21BD"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REVIEW…………………………………………………………...…………….8</w:t>
      </w:r>
    </w:p>
    <w:p w14:paraId="253D1EA3"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THEORETICAL FRAMEWORK……………………………………………………………….20</w:t>
      </w:r>
    </w:p>
    <w:p w14:paraId="34CD17ED"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METHODOLOGY……………….………………………………………………</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23</w:t>
      </w:r>
    </w:p>
    <w:p w14:paraId="3B1BA83A"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PLAN…………………………………….......………………………………...28</w:t>
      </w:r>
    </w:p>
    <w:p w14:paraId="2F119DB3"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IMPLEMENTATION………………………………………………………...……...29</w:t>
      </w:r>
    </w:p>
    <w:p w14:paraId="51DBB3B1"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RESULTS…………………………………………...…………………………………………...30</w:t>
      </w:r>
    </w:p>
    <w:p w14:paraId="74897B11"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DISCUSSION……………………………………………………………………………………31</w:t>
      </w:r>
    </w:p>
    <w:p w14:paraId="59433F59"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 AND LIMITATIONS (WITHIN STRATEGIC PLAN</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………….34</w:t>
      </w:r>
    </w:p>
    <w:p w14:paraId="03E2230F"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 FOR SUSTAINING INTERVENTION…………………………...…35</w:t>
      </w:r>
    </w:p>
    <w:p w14:paraId="1567B53E"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IMPLICATIONS FOR PRACTICE AND CAREER DEVELOPMENT………………...…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36</w:t>
      </w:r>
    </w:p>
    <w:p w14:paraId="46A0C73E"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OF PROJECT IN ACHIEVING DNP ESSENTIALS……………………...37</w:t>
      </w:r>
    </w:p>
    <w:p w14:paraId="21086673"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REFERENCES………………………………………….……………………………………….38</w:t>
      </w:r>
    </w:p>
    <w:p w14:paraId="5A4F03D8"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APPENDICES.………………………………………………………………………………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45</w:t>
      </w:r>
    </w:p>
    <w:p w14:paraId="24536CE8" w14:textId="77777777" w:rsidR="00D401A7" w:rsidRDefault="00D401A7">
      <w:pPr>
        <w:spacing w:line="523" w:lineRule="auto"/>
        <w:jc w:val="center"/>
        <w:rPr>
          <w:rFonts w:ascii="Times New Roman" w:eastAsia="Times New Roman" w:hAnsi="Times New Roman" w:cs="Times New Roman"/>
          <w:sz w:val="24"/>
          <w:szCs w:val="24"/>
        </w:rPr>
      </w:pPr>
    </w:p>
    <w:p w14:paraId="2F85C84A" w14:textId="77777777" w:rsidR="00D401A7" w:rsidRDefault="00D401A7">
      <w:pPr>
        <w:spacing w:line="480" w:lineRule="auto"/>
        <w:rPr>
          <w:rFonts w:ascii="Times New Roman" w:eastAsia="Times New Roman" w:hAnsi="Times New Roman" w:cs="Times New Roman"/>
          <w:sz w:val="24"/>
          <w:szCs w:val="24"/>
        </w:rPr>
      </w:pPr>
    </w:p>
    <w:p w14:paraId="3A6187B7" w14:textId="77777777" w:rsidR="00D401A7" w:rsidRDefault="00D401A7">
      <w:pPr>
        <w:spacing w:line="480" w:lineRule="auto"/>
        <w:rPr>
          <w:rFonts w:ascii="Times New Roman" w:eastAsia="Times New Roman" w:hAnsi="Times New Roman" w:cs="Times New Roman"/>
          <w:sz w:val="24"/>
          <w:szCs w:val="24"/>
        </w:rPr>
      </w:pPr>
    </w:p>
    <w:p w14:paraId="4AA0403C" w14:textId="77777777" w:rsidR="00D401A7" w:rsidRDefault="00D401A7">
      <w:pPr>
        <w:spacing w:line="480" w:lineRule="auto"/>
        <w:rPr>
          <w:rFonts w:ascii="Times New Roman" w:eastAsia="Times New Roman" w:hAnsi="Times New Roman" w:cs="Times New Roman"/>
          <w:sz w:val="24"/>
          <w:szCs w:val="24"/>
        </w:rPr>
      </w:pPr>
    </w:p>
    <w:p w14:paraId="00CD25F4" w14:textId="77777777" w:rsidR="00D401A7" w:rsidRDefault="00D401A7">
      <w:pPr>
        <w:spacing w:line="480" w:lineRule="auto"/>
        <w:rPr>
          <w:rFonts w:ascii="Times New Roman" w:eastAsia="Times New Roman" w:hAnsi="Times New Roman" w:cs="Times New Roman"/>
          <w:sz w:val="24"/>
          <w:szCs w:val="24"/>
        </w:rPr>
      </w:pPr>
    </w:p>
    <w:p w14:paraId="5935A12F" w14:textId="77777777" w:rsidR="00D401A7" w:rsidRDefault="00D401A7">
      <w:pPr>
        <w:spacing w:line="523" w:lineRule="auto"/>
        <w:rPr>
          <w:rFonts w:ascii="Times New Roman" w:eastAsia="Times New Roman" w:hAnsi="Times New Roman" w:cs="Times New Roman"/>
          <w:b/>
          <w:sz w:val="24"/>
          <w:szCs w:val="24"/>
        </w:rPr>
      </w:pPr>
    </w:p>
    <w:p w14:paraId="797573F8" w14:textId="77777777" w:rsidR="00D401A7" w:rsidRDefault="00D401A7">
      <w:pPr>
        <w:spacing w:line="523" w:lineRule="auto"/>
        <w:rPr>
          <w:rFonts w:ascii="Times New Roman" w:eastAsia="Times New Roman" w:hAnsi="Times New Roman" w:cs="Times New Roman"/>
          <w:b/>
          <w:sz w:val="24"/>
          <w:szCs w:val="24"/>
        </w:rPr>
      </w:pPr>
    </w:p>
    <w:p w14:paraId="29EEEBFA"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Background and Significance</w:t>
      </w:r>
    </w:p>
    <w:p w14:paraId="4DDFAB7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healthcare professional must know their fundamental ABCs (airway, breathing and circulation).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cannot intubate, cannot ventilate (CICV) scenario is a high-risk, low-frequency (HRLF) event that anesthesia providers must be able to manage for risk of serious patient harm or death (Stephenson, 2015). The airway is the body’s conduit through which oxygen is delivered to the lungs and carbon dioxide is eliminated; without this passage, permanent brain damage can occur in 5 minutes, and death becomes imminent (Wilson et al., 2003). Certified registered nurse anesthetists (CRNAs) are expected to be experts in airway management, using the American Society of Anesthesiology (ASA) difficult airway algorithm as a guide. </w:t>
      </w:r>
    </w:p>
    <w:p w14:paraId="18C1BF50"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difficult airway algorithm was developed to guide clinicians in the management of patients with a predicted difficult airway or those whose airway cannot be adequately managed before or after anesthetic induction (Hung &amp; Murphy, 2017). A critically important component of the difficult airway algorithm delineates how to proceed through the ‘cannot-intubate, cannot-ventilate’ (CICV) pathway. When the initial steps of the difficult airway algorithm do not achieve an adequate airway for gas exchange, anesthetists must consider establishing the invasive surgical airway via cricothyrotomy. However, since cricothyrotomy is rarely performed, CRNAs have little confidence in performing this skill in a true emergent situation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A need for continuous and ongoing training for performing this life-saving measure exists. Simulation learning offers a potential way to train CRNAs on this skill, but according to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traditional simulation cannot adequately fill provider education demands due to cost restraints incurred by high-fidelity manikin simulators, storage, maintenance, and staffing.</w:t>
      </w:r>
    </w:p>
    <w:p w14:paraId="5BD513B0"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When not managed appropriately, the difficult airway is a source of significant morbidity and mortality within anesthesia care. Over one year, </w:t>
      </w:r>
      <w:proofErr w:type="gramStart"/>
      <w:r>
        <w:rPr>
          <w:rFonts w:ascii="Times New Roman" w:eastAsia="Times New Roman" w:hAnsi="Times New Roman" w:cs="Times New Roman"/>
          <w:sz w:val="24"/>
          <w:szCs w:val="24"/>
        </w:rPr>
        <w:t>Cook</w:t>
      </w:r>
      <w:proofErr w:type="gramEnd"/>
      <w:r>
        <w:rPr>
          <w:rFonts w:ascii="Times New Roman" w:eastAsia="Times New Roman" w:hAnsi="Times New Roman" w:cs="Times New Roman"/>
          <w:sz w:val="24"/>
          <w:szCs w:val="24"/>
        </w:rPr>
        <w:t xml:space="preserve"> et al. (2011) identified 33 deaths and 46 cases of brain damage due to airway complications. This same study reported adverse events related to airway management occurring at rates as high as one per 22,000 general anesthetics. Despite the rarity of CICV events requiring cricothyrotomy (1 in 50,000), they result in 25% of anesthesia-related deaths and more than two-thirds are performed too late to change outcome (</w:t>
      </w:r>
      <w:proofErr w:type="spellStart"/>
      <w:r>
        <w:rPr>
          <w:rFonts w:ascii="Times New Roman" w:eastAsia="Times New Roman" w:hAnsi="Times New Roman" w:cs="Times New Roman"/>
          <w:sz w:val="24"/>
          <w:szCs w:val="24"/>
        </w:rPr>
        <w:t>Onrubia</w:t>
      </w:r>
      <w:proofErr w:type="spellEnd"/>
      <w:r>
        <w:rPr>
          <w:rFonts w:ascii="Times New Roman" w:eastAsia="Times New Roman" w:hAnsi="Times New Roman" w:cs="Times New Roman"/>
          <w:sz w:val="24"/>
          <w:szCs w:val="24"/>
        </w:rPr>
        <w:t xml:space="preserve"> et al., 2018; </w:t>
      </w: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et al., 2019). Between 2000-2012, 80 out of 102 closed airway management claims degenerated into a CICV scenario, where 4 out of 10 surgical airways were delayed due to provider unavailability and performance delay; additionally, three-fourths of the CICV scenarios revealed judgment failures, lack of an airway management plan, and failure to adhere to this algorithm (Joffe et al., 2019). Furthermore, </w:t>
      </w:r>
      <w:proofErr w:type="gramStart"/>
      <w:r>
        <w:rPr>
          <w:rFonts w:ascii="Times New Roman" w:eastAsia="Times New Roman" w:hAnsi="Times New Roman" w:cs="Times New Roman"/>
          <w:sz w:val="24"/>
          <w:szCs w:val="24"/>
        </w:rPr>
        <w:t>Cook</w:t>
      </w:r>
      <w:proofErr w:type="gramEnd"/>
      <w:r>
        <w:rPr>
          <w:rFonts w:ascii="Times New Roman" w:eastAsia="Times New Roman" w:hAnsi="Times New Roman" w:cs="Times New Roman"/>
          <w:sz w:val="24"/>
          <w:szCs w:val="24"/>
        </w:rPr>
        <w:t xml:space="preserve"> et al. (2011) found that 58 emergency airways were attempted out of 133 reported anesthesia-related cases (25 performed by an anesthetist, of which only 9 were successful). These findings suggest the need for further training and education regarding the difficult airway. Apart from significant morbidity and mortality, the difficult airway is also a source of substantial financial burden. Hospital admissions complicated by difficult intubation, had a cost differential of approximately $20,231 existing for those patients having experienced a difficult intubation versus those who have not, as well as an average length of stay in the ICU of approximately 3.8 days longer (</w:t>
      </w:r>
      <w:proofErr w:type="spellStart"/>
      <w:r>
        <w:rPr>
          <w:rFonts w:ascii="Times New Roman" w:eastAsia="Times New Roman" w:hAnsi="Times New Roman" w:cs="Times New Roman"/>
          <w:sz w:val="24"/>
          <w:szCs w:val="24"/>
        </w:rPr>
        <w:t>Moucharite</w:t>
      </w:r>
      <w:proofErr w:type="spellEnd"/>
      <w:r>
        <w:rPr>
          <w:rFonts w:ascii="Times New Roman" w:eastAsia="Times New Roman" w:hAnsi="Times New Roman" w:cs="Times New Roman"/>
          <w:sz w:val="24"/>
          <w:szCs w:val="24"/>
        </w:rPr>
        <w:t xml:space="preserve"> et al, 2021).</w:t>
      </w:r>
    </w:p>
    <w:p w14:paraId="1861268C"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the efficacy of simulation techniques used to master complex psychomotor skills can help guide educational methodology and ensure CRNA competency. Immersive technology includes various modalities (augmented, virtual, or mixed reality) where digital and audio content is manipulated and made available to the human senses to transport </w:t>
      </w:r>
      <w:r>
        <w:rPr>
          <w:rFonts w:ascii="Times New Roman" w:eastAsia="Times New Roman" w:hAnsi="Times New Roman" w:cs="Times New Roman"/>
          <w:sz w:val="24"/>
          <w:szCs w:val="24"/>
        </w:rPr>
        <w:lastRenderedPageBreak/>
        <w:t>learners to an altered, real-world environment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By providing safe, realistic, and meaningful clinical scenarios augmented with human anatomy, immersive simulation technology has the potential to transform healthcare education. Augmented reality (AR), a system where computer-generated information is superimposed on the physical world using audio or visual elements, was introduced as an extension of traditional simulation-based learning and remains a novel, yet promising, development in education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One can expect AR to significantly affect future learning and research through its constructivist learning approach, an approach known for promoting learner confidence and critical thinking skills (</w:t>
      </w:r>
      <w:proofErr w:type="spellStart"/>
      <w:r>
        <w:rPr>
          <w:rFonts w:ascii="Times New Roman" w:eastAsia="Times New Roman" w:hAnsi="Times New Roman" w:cs="Times New Roman"/>
          <w:sz w:val="24"/>
          <w:szCs w:val="24"/>
        </w:rPr>
        <w:t>Martli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Dincer</w:t>
      </w:r>
      <w:proofErr w:type="spellEnd"/>
      <w:r>
        <w:rPr>
          <w:rFonts w:ascii="Times New Roman" w:eastAsia="Times New Roman" w:hAnsi="Times New Roman" w:cs="Times New Roman"/>
          <w:sz w:val="24"/>
          <w:szCs w:val="24"/>
        </w:rPr>
        <w:t xml:space="preserve">, 2021). AR may also offer a cost-effective alternative for high quality simulation.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estimates the cost of a partial task trainer to be anywhere from $500-20,000, while a high-fidelity and fully computerized mannequin may cost as much as $10,000-200,000. Alternately,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estimates that more affordable immersive reality technologies (e.g., augmented, virtual, mixed reality) may cost as little as $100-$3000, however this remains variable. Before its benefits can be fully realized, further research is required to form a conclusion regarding the efficacy of AR-based simulation techniques when applied to anesthesia provider education. </w:t>
      </w:r>
    </w:p>
    <w:p w14:paraId="07A7771B" w14:textId="3279F690" w:rsidR="00D401A7" w:rsidRDefault="00000000" w:rsidP="00FC46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CRNAs are expected to be experts in airway management, and increasingly independent practice further necessitates this. Cricothyrotomy remains a rarely used, but critical psychomotor skill for anesthesia practice; its infrequency in the clinical setting leads to a general lack of confidence and proficiency, and skill decay, thus necessitating continuous education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Stephenson, 2015).</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Due to its novel use, a knowledge gap exists regarding whether AR-based simulation technology improves provider confidence, knowledge acquisition, and skill in performing cricothyrotomy.  </w:t>
      </w:r>
    </w:p>
    <w:p w14:paraId="3E90E993"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Literature Review</w:t>
      </w:r>
    </w:p>
    <w:p w14:paraId="585D9108"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aim of this literature review is to explore simulation modalities, utilized in healthcare provider education, for teaching psychomotor skills, including cricothyrotomy and report on CRNA perceptions of cricothyrotomy itself. Online databases-PubMed, Embase, and Google Scholar-were utilized to collect relevant literature. Keywords searched in each database included “simulation”, “simulation-based”, “training”, “cricothyrotomy”, “cricothyroidotomies”, “augmented reality”, “confidence”, “anesthesia”, “anesthetists”; these same keywords were intermittently combined via the Boolean connectors “AND” and “OR”. The “</w:t>
      </w:r>
      <w:proofErr w:type="spellStart"/>
      <w:r>
        <w:rPr>
          <w:rFonts w:ascii="Times New Roman" w:eastAsia="Times New Roman" w:hAnsi="Times New Roman" w:cs="Times New Roman"/>
          <w:sz w:val="24"/>
          <w:szCs w:val="24"/>
        </w:rPr>
        <w:t>allintitle</w:t>
      </w:r>
      <w:proofErr w:type="spellEnd"/>
      <w:r>
        <w:rPr>
          <w:rFonts w:ascii="Times New Roman" w:eastAsia="Times New Roman" w:hAnsi="Times New Roman" w:cs="Times New Roman"/>
          <w:sz w:val="24"/>
          <w:szCs w:val="24"/>
        </w:rPr>
        <w:t xml:space="preserve">” function via Google Scholar was used to limit extraneous search results. Inclusion criteria included the following: peer-reviewed journal articles and academic papers with free, full-text availability that were less than six years old; articles examining healthcare practices related to anesthesia, surgery, or alternative healthcare disciplines; articles examining immersive and traditional simulation techniques; and articles that evaluated or compared the efficacy of a single or multiple simulation modalities. Non-English journal articles or academic papers and studies solely evaluating the functionality and feasibility of AR technology were excluded. Upon searching the Embase database, 34 total articles were identified. PubMed yielded a total of 1,406 articles. Finally, a total of 336 articles were identified via Google Scholar. Altogether, the search yielded 1,776 articles. Titles and abstracts were skimmed for relevance to key terms, literature review aim, and inclusion/exclusion criteria. Additionally, reference lists were screened, and duplicate articles were disregarded. Upon final review, 31 articles were deemed appropriate and selected for review.     </w:t>
      </w:r>
    </w:p>
    <w:p w14:paraId="1891B793" w14:textId="77777777" w:rsidR="00D401A7" w:rsidRDefault="00D401A7">
      <w:pPr>
        <w:spacing w:line="480" w:lineRule="auto"/>
        <w:rPr>
          <w:rFonts w:ascii="Times New Roman" w:eastAsia="Times New Roman" w:hAnsi="Times New Roman" w:cs="Times New Roman"/>
          <w:b/>
          <w:sz w:val="24"/>
          <w:szCs w:val="24"/>
        </w:rPr>
      </w:pPr>
    </w:p>
    <w:p w14:paraId="293C49D0" w14:textId="77777777" w:rsidR="00D401A7" w:rsidRDefault="00D401A7">
      <w:pPr>
        <w:spacing w:line="480" w:lineRule="auto"/>
        <w:rPr>
          <w:rFonts w:ascii="Times New Roman" w:eastAsia="Times New Roman" w:hAnsi="Times New Roman" w:cs="Times New Roman"/>
          <w:b/>
          <w:sz w:val="24"/>
          <w:szCs w:val="24"/>
        </w:rPr>
      </w:pPr>
    </w:p>
    <w:p w14:paraId="08E86803"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Levels of Evidence</w:t>
      </w:r>
    </w:p>
    <w:p w14:paraId="56EAFE73"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literature search yielded 31 relevant articles for review spanning various levels of evidence. Of the 31 articles, six were single randomized controlled trials (</w:t>
      </w:r>
      <w:proofErr w:type="spellStart"/>
      <w:r>
        <w:rPr>
          <w:rFonts w:ascii="Times New Roman" w:eastAsia="Times New Roman" w:hAnsi="Times New Roman" w:cs="Times New Roman"/>
          <w:sz w:val="24"/>
          <w:szCs w:val="24"/>
        </w:rPr>
        <w:t>Aebersold</w:t>
      </w:r>
      <w:proofErr w:type="spellEnd"/>
      <w:r>
        <w:rPr>
          <w:rFonts w:ascii="Times New Roman" w:eastAsia="Times New Roman" w:hAnsi="Times New Roman" w:cs="Times New Roman"/>
          <w:sz w:val="24"/>
          <w:szCs w:val="24"/>
        </w:rPr>
        <w:t xml:space="preserve"> et al., 2018; </w:t>
      </w:r>
      <w:proofErr w:type="spellStart"/>
      <w:r>
        <w:rPr>
          <w:rFonts w:ascii="Times New Roman" w:eastAsia="Times New Roman" w:hAnsi="Times New Roman" w:cs="Times New Roman"/>
          <w:sz w:val="24"/>
          <w:szCs w:val="24"/>
        </w:rPr>
        <w:t>Hauglum</w:t>
      </w:r>
      <w:proofErr w:type="spellEnd"/>
      <w:r>
        <w:rPr>
          <w:rFonts w:ascii="Times New Roman" w:eastAsia="Times New Roman" w:hAnsi="Times New Roman" w:cs="Times New Roman"/>
          <w:sz w:val="24"/>
          <w:szCs w:val="24"/>
        </w:rPr>
        <w:t xml:space="preserve"> et al., 2020; Huang et al., 2021; </w:t>
      </w:r>
      <w:proofErr w:type="spellStart"/>
      <w:r>
        <w:rPr>
          <w:rFonts w:ascii="Times New Roman" w:eastAsia="Times New Roman" w:hAnsi="Times New Roman" w:cs="Times New Roman"/>
          <w:sz w:val="24"/>
          <w:szCs w:val="24"/>
        </w:rPr>
        <w:t>Pulijala</w:t>
      </w:r>
      <w:proofErr w:type="spellEnd"/>
      <w:r>
        <w:rPr>
          <w:rFonts w:ascii="Times New Roman" w:eastAsia="Times New Roman" w:hAnsi="Times New Roman" w:cs="Times New Roman"/>
          <w:sz w:val="24"/>
          <w:szCs w:val="24"/>
        </w:rPr>
        <w:t xml:space="preserve"> et al., 2017; Rojas-Munoz et al., 2020; Wray et al., 2019), eight were quasi-experimental studies or nonrandomized controlled trials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2021; Kurt et al., 2021; Miller et al., 2020; Putnam et al., 2021; Scott-Herring et al., 2020; Suzuki et al., 2021; Webb et al., 2020), and two articles included a cohort study or case-control study (Nguyen et al., 2019; </w:t>
      </w:r>
      <w:proofErr w:type="spellStart"/>
      <w:r>
        <w:rPr>
          <w:rFonts w:ascii="Times New Roman" w:eastAsia="Times New Roman" w:hAnsi="Times New Roman" w:cs="Times New Roman"/>
          <w:sz w:val="24"/>
          <w:szCs w:val="24"/>
        </w:rPr>
        <w:t>Novas</w:t>
      </w:r>
      <w:proofErr w:type="spellEnd"/>
      <w:r>
        <w:rPr>
          <w:rFonts w:ascii="Times New Roman" w:eastAsia="Times New Roman" w:hAnsi="Times New Roman" w:cs="Times New Roman"/>
          <w:sz w:val="24"/>
          <w:szCs w:val="24"/>
        </w:rPr>
        <w:t xml:space="preserve"> et al., 2020). Two studies were systematic reviews of qualitative studies (</w:t>
      </w:r>
      <w:proofErr w:type="spellStart"/>
      <w:r>
        <w:rPr>
          <w:rFonts w:ascii="Times New Roman" w:eastAsia="Times New Roman" w:hAnsi="Times New Roman" w:cs="Times New Roman"/>
          <w:sz w:val="24"/>
          <w:szCs w:val="24"/>
        </w:rPr>
        <w:t>Gerup</w:t>
      </w:r>
      <w:proofErr w:type="spellEnd"/>
      <w:r>
        <w:rPr>
          <w:rFonts w:ascii="Times New Roman" w:eastAsia="Times New Roman" w:hAnsi="Times New Roman" w:cs="Times New Roman"/>
          <w:sz w:val="24"/>
          <w:szCs w:val="24"/>
        </w:rPr>
        <w:t xml:space="preserve"> et al., 2020; </w:t>
      </w:r>
      <w:proofErr w:type="spellStart"/>
      <w:r>
        <w:rPr>
          <w:rFonts w:ascii="Times New Roman" w:eastAsia="Times New Roman" w:hAnsi="Times New Roman" w:cs="Times New Roman"/>
          <w:sz w:val="24"/>
          <w:szCs w:val="24"/>
        </w:rPr>
        <w:t>Kovoor</w:t>
      </w:r>
      <w:proofErr w:type="spellEnd"/>
      <w:r>
        <w:rPr>
          <w:rFonts w:ascii="Times New Roman" w:eastAsia="Times New Roman" w:hAnsi="Times New Roman" w:cs="Times New Roman"/>
          <w:sz w:val="24"/>
          <w:szCs w:val="24"/>
        </w:rPr>
        <w:t xml:space="preserve"> et al., 2021) and 13 studies were single qualitative or descriptive studies or quality improvement studies (Ameri et al., 2019; </w:t>
      </w:r>
      <w:proofErr w:type="spellStart"/>
      <w:r>
        <w:rPr>
          <w:rFonts w:ascii="Times New Roman" w:eastAsia="Times New Roman" w:hAnsi="Times New Roman" w:cs="Times New Roman"/>
          <w:sz w:val="24"/>
          <w:szCs w:val="24"/>
        </w:rPr>
        <w:t>Bortman</w:t>
      </w:r>
      <w:proofErr w:type="spellEnd"/>
      <w:r>
        <w:rPr>
          <w:rFonts w:ascii="Times New Roman" w:eastAsia="Times New Roman" w:hAnsi="Times New Roman" w:cs="Times New Roman"/>
          <w:sz w:val="24"/>
          <w:szCs w:val="24"/>
        </w:rPr>
        <w:t xml:space="preserve"> et al., 2019; Briggs et al., 2021; </w:t>
      </w: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et al., 2021; Clark et al., 2021; Gabbard et al., 2021; Lutgendorf et al., 2017; Myers et al., 2017; Parsons et al., 2018; Silverio et al., 2021; </w:t>
      </w:r>
      <w:proofErr w:type="spellStart"/>
      <w:r>
        <w:rPr>
          <w:rFonts w:ascii="Times New Roman" w:eastAsia="Times New Roman" w:hAnsi="Times New Roman" w:cs="Times New Roman"/>
          <w:sz w:val="24"/>
          <w:szCs w:val="24"/>
        </w:rPr>
        <w:t>Staun</w:t>
      </w:r>
      <w:proofErr w:type="spellEnd"/>
      <w:r>
        <w:rPr>
          <w:rFonts w:ascii="Times New Roman" w:eastAsia="Times New Roman" w:hAnsi="Times New Roman" w:cs="Times New Roman"/>
          <w:sz w:val="24"/>
          <w:szCs w:val="24"/>
        </w:rPr>
        <w:t xml:space="preserve"> et al.,2020; Wiggins et al., 2018;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Overall, all 31 studies demonstrated clear methodology and their research clearly delineated the individual study aims (see Appendix A).</w:t>
      </w:r>
    </w:p>
    <w:p w14:paraId="103066EF"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Simulation in Anesthesia Training</w:t>
      </w:r>
    </w:p>
    <w:p w14:paraId="2BE99A8B"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teaching tool in anesthesia education, simulation itself promotes experiential learning, a process where knowledge is created through hands-on experiences and physical transformation; it is an optimal way to practice rare and life-threatening clinical scenarios (Miller et al., 2020; Webb et al., 2020;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Traditional simulation via high-fidelity mannequins, or task trainers, remains pertinent and widely used. </w:t>
      </w:r>
      <w:proofErr w:type="spellStart"/>
      <w:r>
        <w:rPr>
          <w:rFonts w:ascii="Times New Roman" w:eastAsia="Times New Roman" w:hAnsi="Times New Roman" w:cs="Times New Roman"/>
          <w:sz w:val="24"/>
          <w:szCs w:val="24"/>
        </w:rPr>
        <w:t>Gerup</w:t>
      </w:r>
      <w:proofErr w:type="spellEnd"/>
      <w:r>
        <w:rPr>
          <w:rFonts w:ascii="Times New Roman" w:eastAsia="Times New Roman" w:hAnsi="Times New Roman" w:cs="Times New Roman"/>
          <w:sz w:val="24"/>
          <w:szCs w:val="24"/>
        </w:rPr>
        <w:t xml:space="preserve"> et al. (2020) conducted an integrative review demonstrating that simulation, augmented with AR technology, is being used to study more avenues in anesthesia; notably, AR outperformed traditional simulation in </w:t>
      </w:r>
      <w:r>
        <w:rPr>
          <w:rFonts w:ascii="Times New Roman" w:eastAsia="Times New Roman" w:hAnsi="Times New Roman" w:cs="Times New Roman"/>
          <w:sz w:val="24"/>
          <w:szCs w:val="24"/>
        </w:rPr>
        <w:lastRenderedPageBreak/>
        <w:t xml:space="preserve">simulations involving venous cannulation. As simulation research targeting anesthesia education evolves, its utility for crisis and non-crisis scenario management is considered. </w:t>
      </w:r>
    </w:p>
    <w:p w14:paraId="3BDA976B" w14:textId="77777777" w:rsidR="00D401A7"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Crisis Scenarios</w:t>
      </w:r>
    </w:p>
    <w:p w14:paraId="4BEFC44E"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Anesthesia providers must be able to manage HRLF scenarios due to risk of serious patient harm or death (Stephenson, 2015). To better prepare nurse anesthetists, the use of a simulated environment is now the growing standard for teaching technical and non-technical skills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(2021) and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revealed that more than 88% of future CRNAs indicated that simulation is an important component of their education and should be an absolute requirement; it is necessary for HRLF scenarios, early awareness of warning signs, and treatment. Simulation has been utilized to teach management of HRLF scenarios including malignant hyperthermia, airway fire, myocardial infarction (MI) or cardiac arrest, anaphylaxis, foreign body aspiration, bronchospasm, and postpartum hemorrhage. Through simulation, anesthesia providers-SRNAs, CRNAs, or residents-have demonstrated statistically significant improvements in confidence, knowledge of management, timely recognition of events, and/or a high degree of skill performance; these results were based on data collection measures consisting of pre- and post-questionnaire and/or performance checklists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2019; Gabbard et al., 2021; Lutgendorf et al., 2017; Miller et al., 2020; Parsons et al., 2019; Putnam et al., 2021;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Through their work with traditional simulation to teach postpartum hemorrhage, Lutgendorf et al. (2017) found that simulation is particularly beneficial in HRLF scenarios, due to the need for rapid assessment and action, and efficient teamwork; post training provider comfort levels reached statistically significant improvements (p = 0.001). Apart from assessing knowledge and technical skill, simulation reinforces teamwork and communication; together, this translates to a high-functioning </w:t>
      </w:r>
      <w:r>
        <w:rPr>
          <w:rFonts w:ascii="Times New Roman" w:eastAsia="Times New Roman" w:hAnsi="Times New Roman" w:cs="Times New Roman"/>
          <w:sz w:val="24"/>
          <w:szCs w:val="24"/>
        </w:rPr>
        <w:lastRenderedPageBreak/>
        <w:t xml:space="preserve">multidisciplinary team and improved patient safety. It is important to note, however, that Parsons et al. (2019) revealed that years of clinical experience and vigilance, as well as traditional simulation, may not be enough to prevent adverse effects from an HRLF scenario, as they exposed a previous study showing that 44% of CRNAs and anesthesiologists could not correctly identify and treat malignant hyperthermia. Gabbard et al. (2021) spoke to the risk of knowledge and skill deterioration for managing critical anesthesia events. They state that up to a 7% decline may be present after </w:t>
      </w:r>
      <w:proofErr w:type="gramStart"/>
      <w:r>
        <w:rPr>
          <w:rFonts w:ascii="Times New Roman" w:eastAsia="Times New Roman" w:hAnsi="Times New Roman" w:cs="Times New Roman"/>
          <w:sz w:val="24"/>
          <w:szCs w:val="24"/>
        </w:rPr>
        <w:t>a time period</w:t>
      </w:r>
      <w:proofErr w:type="gramEnd"/>
      <w:r>
        <w:rPr>
          <w:rFonts w:ascii="Times New Roman" w:eastAsia="Times New Roman" w:hAnsi="Times New Roman" w:cs="Times New Roman"/>
          <w:sz w:val="24"/>
          <w:szCs w:val="24"/>
        </w:rPr>
        <w:t xml:space="preserve"> of six months and up to a 25% decline after 18 months, thus potentiating a need for increased or improved simulation experiences. </w:t>
      </w:r>
    </w:p>
    <w:p w14:paraId="484AB56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Nursing confidence remains a major factor in appropriate and swift initiation of resuscitation measures. Simulation mock codes are useful to improve patient outcomes in life-saving measures by decreasing nurse response times and providing exposure to HRLF events such as cardiac arrest (</w:t>
      </w: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et al., 2021). Delayed initiation of chest compressions may result in a 10% increase in mortality (</w:t>
      </w: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et al., 2021). </w:t>
      </w: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et al. (2021) revealed that immersive cardiac arrest simulations for nursing staff effectively decreased resuscitation delays and improved self-confidence. </w:t>
      </w:r>
    </w:p>
    <w:p w14:paraId="751E452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those difficult to replicate experiences, immersive reality provides robust opportunities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(2019), Putnam et al. (2021), and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utilized immersive reality techniques to augment an HRLF simulation experience. Using the Magic Leap One virtual headset, elements of smoke, fire, and water were displayed in the glasses to recreate airway fire in the field-of-view of an SRNA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Overall, SRNA simulation performance scores for technical and non-technical skill performance had means of 80% to 97% respectively, thus reflecting effective management. </w:t>
      </w:r>
    </w:p>
    <w:p w14:paraId="254FB200"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Though rare, pediatric airway emergencies present potential catastrophe, therefore, simulation is critical in providing exposure to these events. Learner knowledge of critical airway events and confidence in managing the pediatric airway was also assessed with the virtual headset, HoloLens. In 41 participants, most knowledge areas measured showed slight to significant improvements, with pediatric anatomy, anaphylaxis, and foreign body removal showing the highest improvement in scores (p &lt; 0.05) (Putnam et al., 2021). </w:t>
      </w:r>
    </w:p>
    <w:p w14:paraId="7D6C72C0" w14:textId="77777777" w:rsidR="00D401A7" w:rsidRDefault="00000000">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(2019) used virtual simulation software with SRNAs and discovered a statistically significant difference between second- and third-year students in the timely recognition of an intraoperative MI (U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270.5; p = .02); third-year students were able to recognize MI quicker with virtual simulation. This same study revealed that </w:t>
      </w:r>
      <w:proofErr w:type="gramStart"/>
      <w:r>
        <w:rPr>
          <w:rFonts w:ascii="Times New Roman" w:eastAsia="Times New Roman" w:hAnsi="Times New Roman" w:cs="Times New Roman"/>
          <w:sz w:val="24"/>
          <w:szCs w:val="24"/>
        </w:rPr>
        <w:t>second-year</w:t>
      </w:r>
      <w:proofErr w:type="gramEnd"/>
      <w:r>
        <w:rPr>
          <w:rFonts w:ascii="Times New Roman" w:eastAsia="Times New Roman" w:hAnsi="Times New Roman" w:cs="Times New Roman"/>
          <w:sz w:val="24"/>
          <w:szCs w:val="24"/>
        </w:rPr>
        <w:t xml:space="preserve"> SRNAs recognized MI significantly quicker when participating in high-fidelity mannequin simulation compared with virtual simulation (W</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29;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.01).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(2019) suggest that this difference may be due to </w:t>
      </w:r>
      <w:proofErr w:type="gramStart"/>
      <w:r>
        <w:rPr>
          <w:rFonts w:ascii="Times New Roman" w:eastAsia="Times New Roman" w:hAnsi="Times New Roman" w:cs="Times New Roman"/>
          <w:sz w:val="24"/>
          <w:szCs w:val="24"/>
        </w:rPr>
        <w:t>third-year</w:t>
      </w:r>
      <w:proofErr w:type="gramEnd"/>
      <w:r>
        <w:rPr>
          <w:rFonts w:ascii="Times New Roman" w:eastAsia="Times New Roman" w:hAnsi="Times New Roman" w:cs="Times New Roman"/>
          <w:sz w:val="24"/>
          <w:szCs w:val="24"/>
        </w:rPr>
        <w:t xml:space="preserve"> SRNAs having prior exposure to the virtual simulation software, as well as an additional year of didactic courses and clinical experience.</w:t>
      </w:r>
    </w:p>
    <w:p w14:paraId="447B3E4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Simulation-based education combined with advances in mixed reality technologies holds promise to enable healthcare professionals to learn, practice, and improve their performance of technical and behavioral skills, particularly in HRLF scenarios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w:t>
      </w:r>
    </w:p>
    <w:p w14:paraId="47107CC3"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Cricothyrotomy Simulation Training. </w:t>
      </w:r>
      <w:r>
        <w:rPr>
          <w:rFonts w:ascii="Times New Roman" w:eastAsia="Times New Roman" w:hAnsi="Times New Roman" w:cs="Times New Roman"/>
          <w:sz w:val="24"/>
          <w:szCs w:val="24"/>
        </w:rPr>
        <w:t>Considering the rarity of a cricothyrotomy, few anesthesia providers have been required to perform one in the entirety of their careers (</w:t>
      </w: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et al., 2019). This HRLF scenario and life-saving skill requires frequent training as clinical exposure is too infrequent to maintain competency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w:t>
      </w:r>
    </w:p>
    <w:p w14:paraId="5E8F184F"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Traditional simulation using various methods such as porcine models, human cadavers, task trainers, or mannequins remains forefront in the literature, showing various outcome </w:t>
      </w:r>
      <w:r>
        <w:rPr>
          <w:rFonts w:ascii="Times New Roman" w:eastAsia="Times New Roman" w:hAnsi="Times New Roman" w:cs="Times New Roman"/>
          <w:sz w:val="24"/>
          <w:szCs w:val="24"/>
        </w:rPr>
        <w:lastRenderedPageBreak/>
        <w:t>improvements pertaining to provider confidence, skill acquisition, and time to perform cricothyrotomy. Clark et al. (2021) report that success rates, even among trained providers, is less than 50%, with complication rates due to poor performance as high as 40%. In the study by Clark et al. (2021), provider self-efficacy was improved after attempts of a simulated cricothyrotomy on cadavers after standardized training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xml:space="preserve">= .036). </w:t>
      </w:r>
    </w:p>
    <w:p w14:paraId="32A475E0"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Scott-Herring et al. (2020) found that CRNA confidence in performing successful cricothyrotomy in under 2 minutes was significantly increased (p &lt; .001), while Wray et al. (2019) reported increased self-confidence in residents after simulation (p &lt; .014). Of note, Clark et al. (2021) stated that a lack of confidence in one’s ability to perform a life-saving skill has been shown to lead to delays in initiating resuscitation measures like cricothyrotomy in real case scenarios. </w:t>
      </w:r>
    </w:p>
    <w:p w14:paraId="6A4AF0C8"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Time to complete a cricothyrotomy was measured in several studies assessing the efficacy of simulation for cricothyrotomy. All showed statistically significant improvement (Clark et al., 2021; Huang et al., 2021; Scott-Herring et al., 2020). Time to complete served as a metric for measuring skills competence as delay has been shown to be a major cause of morbidity and mortality, particularly anoxic brain injury, in the CICV scenario (</w:t>
      </w: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et al., 2019). Huang et al. (2021) measured average time to complete a cricothyrotomy before and after simulation training. The mean procedure time was improved after simulation from 39 seconds to 30 seconds (p = 0.001). Additionally, Scott-Herring et al. (2020) measured time to complete a cricothyrotomy as an additional outcome. Participants were able to secure an airway, on average, 60.4 seconds faster (130.4 seconds to 70 seconds after four attempts) during the simulation training demonstrating that simulation decreased time needed to secure the airway (Scott-Herring et al., 2020; Huang et al., 2021). In actual CICV scenarios, time reductions could lead to reduced </w:t>
      </w:r>
      <w:r>
        <w:rPr>
          <w:rFonts w:ascii="Times New Roman" w:eastAsia="Times New Roman" w:hAnsi="Times New Roman" w:cs="Times New Roman"/>
          <w:sz w:val="24"/>
          <w:szCs w:val="24"/>
        </w:rPr>
        <w:lastRenderedPageBreak/>
        <w:t>morbidity and mortality by minimizing anoxic injury (</w:t>
      </w:r>
      <w:proofErr w:type="spellStart"/>
      <w:r>
        <w:rPr>
          <w:rFonts w:ascii="Times New Roman" w:eastAsia="Times New Roman" w:hAnsi="Times New Roman" w:cs="Times New Roman"/>
          <w:sz w:val="24"/>
          <w:szCs w:val="24"/>
        </w:rPr>
        <w:t>Onrubia</w:t>
      </w:r>
      <w:proofErr w:type="spellEnd"/>
      <w:r>
        <w:rPr>
          <w:rFonts w:ascii="Times New Roman" w:eastAsia="Times New Roman" w:hAnsi="Times New Roman" w:cs="Times New Roman"/>
          <w:sz w:val="24"/>
          <w:szCs w:val="24"/>
        </w:rPr>
        <w:t xml:space="preserve"> et al. 2018). Improved completion time, success rates, and difficult airway algorithm compliance are all possible with simulation (Clark et al., 2021).</w:t>
      </w:r>
    </w:p>
    <w:p w14:paraId="580423C3" w14:textId="77777777" w:rsidR="00D401A7" w:rsidRDefault="00000000">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Skill acquisition, often measured by adherence to a skill checklist, was measured in studies evaluating cricothyrotomy simulation (Clark et al., 2021; Nguyen et al., 2019). Clark et al. (2021) utilized a skills checklist that included items such as proper head positioning, adequate palpation of anatomical landmarks and appropriate use of instruments to assess skill acquisition in CRNAs and anesthesiologists during cricothyrotomy; significant improvement in checklist adherence after simulation training was reported (p = 0.012). Nguyen et al. (2019) recruited residents who participated in simulation training using animal models, cadavers, task trainers, and mannequins. Significantly improved technical skills of cricothyroidotomy (p &lt; 0.05), as well as non-technical skills in simulated crisis scenarios (p &lt; 0.05) was demonstrated. Nguyen et al. (2019) notes that preventable medical errors, including failed airway management because of poor skill, leads to more deaths per year in the United States than motor vehicle accidents, breast cancer or AIDS: an issue improved simulation techniques may potentially avoid.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highlights the importance of adhering to the guidelines in airway emergencies as “prompt and appropriate decisive actions can improve patient outcomes” (p. 486).</w:t>
      </w:r>
    </w:p>
    <w:p w14:paraId="31DCDA64" w14:textId="77777777" w:rsidR="00D401A7" w:rsidRDefault="00000000">
      <w:pPr>
        <w:spacing w:after="80"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Contrary to traditional simulation modalities, one study by Rojas-Munoz et al. (2020) was identified that utilized an AR guidance system during a cricothyrotomy simulation for emergency responders. Provider skill performance was measured through multiple scales and checklists, one of which being the emergency cricothyrotomy performance scale. Participants were mentored by one of two methods, audio only (cell phone speaker) or via an AR headset allowing surgical instruction and tool projection into the participants field of view, as well as </w:t>
      </w:r>
      <w:r>
        <w:rPr>
          <w:rFonts w:ascii="Times New Roman" w:eastAsia="Times New Roman" w:hAnsi="Times New Roman" w:cs="Times New Roman"/>
          <w:sz w:val="24"/>
          <w:szCs w:val="24"/>
        </w:rPr>
        <w:lastRenderedPageBreak/>
        <w:t xml:space="preserve">two-way audio connection. Participants in the AR mentored group did significantly better (p = 0.01) when performing a cricothyrotomy compared to the audio only mentored group as measured by the emergency cricothyrotomy performance scale. These findings demonstrate the potential for AR simulation as a teaching method for cricothyrotomy. </w:t>
      </w:r>
    </w:p>
    <w:p w14:paraId="00B2ED0C" w14:textId="77777777" w:rsidR="00D401A7"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Non-crisis Scenarios</w:t>
      </w:r>
      <w:r>
        <w:rPr>
          <w:rFonts w:ascii="Times New Roman" w:eastAsia="Times New Roman" w:hAnsi="Times New Roman" w:cs="Times New Roman"/>
          <w:i/>
          <w:sz w:val="24"/>
          <w:szCs w:val="24"/>
        </w:rPr>
        <w:t xml:space="preserve"> </w:t>
      </w:r>
    </w:p>
    <w:p w14:paraId="6B3C9A1B"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Simulation is provided for anesthesia providers in non-crisis scenarios such as vascular cannulation, regional anesthesia, intubation/ventilation skills, and cardiac surgery preparation (Ameri et al., 2019; </w:t>
      </w:r>
      <w:proofErr w:type="spellStart"/>
      <w:r>
        <w:rPr>
          <w:rFonts w:ascii="Times New Roman" w:eastAsia="Times New Roman" w:hAnsi="Times New Roman" w:cs="Times New Roman"/>
          <w:sz w:val="24"/>
          <w:szCs w:val="24"/>
        </w:rPr>
        <w:t>Bortman</w:t>
      </w:r>
      <w:proofErr w:type="spellEnd"/>
      <w:r>
        <w:rPr>
          <w:rFonts w:ascii="Times New Roman" w:eastAsia="Times New Roman" w:hAnsi="Times New Roman" w:cs="Times New Roman"/>
          <w:sz w:val="24"/>
          <w:szCs w:val="24"/>
        </w:rPr>
        <w:t xml:space="preserve"> et al., 2019; Briggs et al., 2021; </w:t>
      </w:r>
      <w:proofErr w:type="spellStart"/>
      <w:r>
        <w:rPr>
          <w:rFonts w:ascii="Times New Roman" w:eastAsia="Times New Roman" w:hAnsi="Times New Roman" w:cs="Times New Roman"/>
          <w:sz w:val="24"/>
          <w:szCs w:val="24"/>
        </w:rPr>
        <w:t>Hauglum</w:t>
      </w:r>
      <w:proofErr w:type="spellEnd"/>
      <w:r>
        <w:rPr>
          <w:rFonts w:ascii="Times New Roman" w:eastAsia="Times New Roman" w:hAnsi="Times New Roman" w:cs="Times New Roman"/>
          <w:sz w:val="24"/>
          <w:szCs w:val="24"/>
        </w:rPr>
        <w:t xml:space="preserve"> et al., 2020; Miller et al., 2020; Myers et al., 2017; </w:t>
      </w:r>
      <w:proofErr w:type="spellStart"/>
      <w:r>
        <w:rPr>
          <w:rFonts w:ascii="Times New Roman" w:eastAsia="Times New Roman" w:hAnsi="Times New Roman" w:cs="Times New Roman"/>
          <w:sz w:val="24"/>
          <w:szCs w:val="24"/>
        </w:rPr>
        <w:t>Novas</w:t>
      </w:r>
      <w:proofErr w:type="spellEnd"/>
      <w:r>
        <w:rPr>
          <w:rFonts w:ascii="Times New Roman" w:eastAsia="Times New Roman" w:hAnsi="Times New Roman" w:cs="Times New Roman"/>
          <w:sz w:val="24"/>
          <w:szCs w:val="24"/>
        </w:rPr>
        <w:t xml:space="preserve"> et al., 2020; </w:t>
      </w:r>
      <w:proofErr w:type="spellStart"/>
      <w:r>
        <w:rPr>
          <w:rFonts w:ascii="Times New Roman" w:eastAsia="Times New Roman" w:hAnsi="Times New Roman" w:cs="Times New Roman"/>
          <w:sz w:val="24"/>
          <w:szCs w:val="24"/>
        </w:rPr>
        <w:t>Staun</w:t>
      </w:r>
      <w:proofErr w:type="spellEnd"/>
      <w:r>
        <w:rPr>
          <w:rFonts w:ascii="Times New Roman" w:eastAsia="Times New Roman" w:hAnsi="Times New Roman" w:cs="Times New Roman"/>
          <w:sz w:val="24"/>
          <w:szCs w:val="24"/>
        </w:rPr>
        <w:t xml:space="preserve"> et al., 2020; Wiggins et al., 2018). Wiggins et al. (2018) recognized a need to bridge the gap between initial CRNA training and the reintroduction of regional anesthesia skills after an interruption in regional anesthesia practice. Through a traditional simulation approach using didactic teaching and task trainers, Wiggins et al. (2018) found that CRNAs demonstrated significant comfort, confidence and knowledge levels when performing both epidural and spinal block. Through an augmented simulation approach using SRNAs and residents, </w:t>
      </w:r>
      <w:proofErr w:type="spellStart"/>
      <w:r>
        <w:rPr>
          <w:rFonts w:ascii="Times New Roman" w:eastAsia="Times New Roman" w:hAnsi="Times New Roman" w:cs="Times New Roman"/>
          <w:sz w:val="24"/>
          <w:szCs w:val="24"/>
        </w:rPr>
        <w:t>Hauglum</w:t>
      </w:r>
      <w:proofErr w:type="spellEnd"/>
      <w:r>
        <w:rPr>
          <w:rFonts w:ascii="Times New Roman" w:eastAsia="Times New Roman" w:hAnsi="Times New Roman" w:cs="Times New Roman"/>
          <w:sz w:val="24"/>
          <w:szCs w:val="24"/>
        </w:rPr>
        <w:t xml:space="preserve"> et al. (2020) and Ameri et al. (2019) showed that transverse abdominis plane block and spinal puncture success rates and accuracy are improved. </w:t>
      </w:r>
      <w:proofErr w:type="spellStart"/>
      <w:r>
        <w:rPr>
          <w:rFonts w:ascii="Times New Roman" w:eastAsia="Times New Roman" w:hAnsi="Times New Roman" w:cs="Times New Roman"/>
          <w:sz w:val="24"/>
          <w:szCs w:val="24"/>
        </w:rPr>
        <w:t>Hauglum</w:t>
      </w:r>
      <w:proofErr w:type="spellEnd"/>
      <w:r>
        <w:rPr>
          <w:rFonts w:ascii="Times New Roman" w:eastAsia="Times New Roman" w:hAnsi="Times New Roman" w:cs="Times New Roman"/>
          <w:sz w:val="24"/>
          <w:szCs w:val="24"/>
        </w:rPr>
        <w:t xml:space="preserve"> et al. (2020) reports increased SRNA confidence and ability to identify appropriate landmarks, a critical skill in performing cricothyrotomy.</w:t>
      </w:r>
    </w:p>
    <w:p w14:paraId="0EF0F938" w14:textId="77777777" w:rsidR="00D401A7" w:rsidRDefault="00000000">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Using vascular models and live humans, Briggs et al. (2021) and </w:t>
      </w:r>
      <w:proofErr w:type="spellStart"/>
      <w:r>
        <w:rPr>
          <w:rFonts w:ascii="Times New Roman" w:eastAsia="Times New Roman" w:hAnsi="Times New Roman" w:cs="Times New Roman"/>
          <w:sz w:val="24"/>
          <w:szCs w:val="24"/>
        </w:rPr>
        <w:t>Bortman</w:t>
      </w:r>
      <w:proofErr w:type="spellEnd"/>
      <w:r>
        <w:rPr>
          <w:rFonts w:ascii="Times New Roman" w:eastAsia="Times New Roman" w:hAnsi="Times New Roman" w:cs="Times New Roman"/>
          <w:sz w:val="24"/>
          <w:szCs w:val="24"/>
        </w:rPr>
        <w:t xml:space="preserve"> et al. (2019) found that an ultrasound-guided intravenous catheter placement simulation workshop for CRNAs led to both increased knowledge and confidence levels; the workshops led to an increased likelihood of using this skill, when necessary (i.e., improved adherence), which can improve performance delays. </w:t>
      </w:r>
      <w:proofErr w:type="spellStart"/>
      <w:r>
        <w:rPr>
          <w:rFonts w:ascii="Times New Roman" w:eastAsia="Times New Roman" w:hAnsi="Times New Roman" w:cs="Times New Roman"/>
          <w:sz w:val="24"/>
          <w:szCs w:val="24"/>
        </w:rPr>
        <w:t>Staun</w:t>
      </w:r>
      <w:proofErr w:type="spellEnd"/>
      <w:r>
        <w:rPr>
          <w:rFonts w:ascii="Times New Roman" w:eastAsia="Times New Roman" w:hAnsi="Times New Roman" w:cs="Times New Roman"/>
          <w:sz w:val="24"/>
          <w:szCs w:val="24"/>
        </w:rPr>
        <w:t xml:space="preserve"> et al. (2020) and Myers et al. (2017) found that traditional simulation </w:t>
      </w:r>
      <w:r>
        <w:rPr>
          <w:rFonts w:ascii="Times New Roman" w:eastAsia="Times New Roman" w:hAnsi="Times New Roman" w:cs="Times New Roman"/>
          <w:sz w:val="24"/>
          <w:szCs w:val="24"/>
        </w:rPr>
        <w:lastRenderedPageBreak/>
        <w:t>for SRNAs and residents lead to improved confidence and knowledge in preparation for open heart surgery and the management of cardiopulmonary bypass. Anesthesia residents demonstrated improvements in performance, compliance, and self-efficacy (p &lt; .001) for several essential anesthesia skills such as face-mask ventilation, orotracheal intubation, rapid sequence induction, cricoid pressure application, etc. after simulation training (</w:t>
      </w:r>
      <w:proofErr w:type="spellStart"/>
      <w:r>
        <w:rPr>
          <w:rFonts w:ascii="Times New Roman" w:eastAsia="Times New Roman" w:hAnsi="Times New Roman" w:cs="Times New Roman"/>
          <w:sz w:val="24"/>
          <w:szCs w:val="24"/>
        </w:rPr>
        <w:t>Novas</w:t>
      </w:r>
      <w:proofErr w:type="spellEnd"/>
      <w:r>
        <w:rPr>
          <w:rFonts w:ascii="Times New Roman" w:eastAsia="Times New Roman" w:hAnsi="Times New Roman" w:cs="Times New Roman"/>
          <w:sz w:val="24"/>
          <w:szCs w:val="24"/>
        </w:rPr>
        <w:t xml:space="preserve"> et al., 2020 &amp; Miller et al., 2020). Numerous skills of airway management preclude the performance of a cricothyrotomy and require simulation training that can lead to instinctive responses in the clinical field (Miller et al., 2020). Through its many uses in anesthesia education, traditional and augmented simulation has been shown to allow the provider to develop the behavioral capability to manage both critical and noncritical events, no matter the frequency (Miller et al., 2020). Simulation has done well to provide exposure and accelerated skill acquisition and has become a Council of Accreditation standard.</w:t>
      </w:r>
    </w:p>
    <w:p w14:paraId="4D959EA7"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CRNA Perceptions on Cricothyrotomy</w:t>
      </w:r>
    </w:p>
    <w:p w14:paraId="7FF4472E" w14:textId="77777777" w:rsidR="00D401A7" w:rsidRDefault="0000000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self-confidence,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self-efficacy, the belief in oneself to execute a skill successfully, is associated with greater perseverance and effort (Miller et al., 2020).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When a challenge arises,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nursing confidence is a major factor in appropriate and swift initiation of resuscitation measures; coupled with simulation, it is linked to lower emergency response times and delays (</w:t>
      </w: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et al, 2021). As a core anesthesia competency, management of a CICV scenario requires cricothyrotomy to reestablish a functional airway, however rates of success by CRNAs are</w:t>
      </w:r>
      <w:r>
        <w:t xml:space="preserve"> </w:t>
      </w:r>
      <w:r>
        <w:rPr>
          <w:rFonts w:ascii="Times New Roman" w:eastAsia="Times New Roman" w:hAnsi="Times New Roman" w:cs="Times New Roman"/>
          <w:sz w:val="24"/>
          <w:szCs w:val="24"/>
        </w:rPr>
        <w:t xml:space="preserve">low (Silverio et al., 2021). Hesitation in performing cricothyrotomy is common; therefore, a clinician’s willingness to implement it will dictate success with this procedure. Silverio et al., (2021) conducted a pilot simulation-based training program, with periodic interviews with CRNAs, to identify psychological barriers regarding cricothyrotomy; several </w:t>
      </w:r>
      <w:r>
        <w:rPr>
          <w:rFonts w:ascii="Times New Roman" w:eastAsia="Times New Roman" w:hAnsi="Times New Roman" w:cs="Times New Roman"/>
          <w:sz w:val="24"/>
          <w:szCs w:val="24"/>
        </w:rPr>
        <w:lastRenderedPageBreak/>
        <w:t>concerns surfaced. In a profession that demands high situational control, participants reported feeling threatened by emergency situations. They reported optimal preparation for everyday procedures but had little confidence in performing rare procedures such as cricothyrotomy due to minimal exposure and scant training. Participants suggested that cricothyrotomy is not a natural part of their duties. A transition from “anesthetist” to “temporary surgeon” was noted to have a psychological impact, linked to a fear of causing harm and a feeling of overt personal failure in airway management. The simulation training program enhanced CRNA competence and confidence, but perhaps more importantly, changed their outlook; it taught them to view cricothyrotomy as successful management of the failed airway, granting them permission and acceptance to perform this procedure. Ultimately, simulation normalized cricothyrotomy as an anesthetic procedure (Silverio et al., 2021).</w:t>
      </w:r>
    </w:p>
    <w:p w14:paraId="595B99BC"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Both technical and human factors contribute to the negative outcomes related to the emergency surgical airway. When viewing CRNA perceptions of cricothyrotomy, increasing a provider's confidence in performing a cricothyrotomy will lead to better patient outcomes. </w:t>
      </w:r>
      <w:proofErr w:type="gramStart"/>
      <w:r>
        <w:rPr>
          <w:rFonts w:ascii="Times New Roman" w:eastAsia="Times New Roman" w:hAnsi="Times New Roman" w:cs="Times New Roman"/>
          <w:sz w:val="24"/>
          <w:szCs w:val="24"/>
        </w:rPr>
        <w:t>In particular, it</w:t>
      </w:r>
      <w:proofErr w:type="gramEnd"/>
      <w:r>
        <w:rPr>
          <w:rFonts w:ascii="Times New Roman" w:eastAsia="Times New Roman" w:hAnsi="Times New Roman" w:cs="Times New Roman"/>
          <w:sz w:val="24"/>
          <w:szCs w:val="24"/>
        </w:rPr>
        <w:t xml:space="preserve"> may reduce delays in performing a cricothyrotomy in a CICV scenario. As a major influencing factor, confidence can improve various aspects of healthcare providers’ clinical performance, all of which influence patient care quality (Miller et al., 2020; </w:t>
      </w:r>
      <w:proofErr w:type="spellStart"/>
      <w:r>
        <w:rPr>
          <w:rFonts w:ascii="Times New Roman" w:eastAsia="Times New Roman" w:hAnsi="Times New Roman" w:cs="Times New Roman"/>
          <w:sz w:val="24"/>
          <w:szCs w:val="24"/>
        </w:rPr>
        <w:t>Staun</w:t>
      </w:r>
      <w:proofErr w:type="spellEnd"/>
      <w:r>
        <w:rPr>
          <w:rFonts w:ascii="Times New Roman" w:eastAsia="Times New Roman" w:hAnsi="Times New Roman" w:cs="Times New Roman"/>
          <w:sz w:val="24"/>
          <w:szCs w:val="24"/>
        </w:rPr>
        <w:t xml:space="preserve"> et al., 2020). Silverio et al. (2021) demonstrated that a lack of confidence and familiarity with the skill could lead to performance delays, a known factor in CICV morbidity and mortality (</w:t>
      </w: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et al., 2019).</w:t>
      </w:r>
    </w:p>
    <w:p w14:paraId="2A259C09"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Augmented/Immersive Reality Simulation Outside Anesthesia</w:t>
      </w:r>
    </w:p>
    <w:p w14:paraId="7FDFDDD5" w14:textId="77777777" w:rsidR="00D401A7" w:rsidRDefault="00000000">
      <w:pPr>
        <w:spacing w:after="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most exposure to AR occurs in gaming and smartphone apps, as well as the aviation industry for flight training (</w:t>
      </w:r>
      <w:proofErr w:type="spellStart"/>
      <w:r>
        <w:rPr>
          <w:rFonts w:ascii="Times New Roman" w:eastAsia="Times New Roman" w:hAnsi="Times New Roman" w:cs="Times New Roman"/>
          <w:sz w:val="24"/>
          <w:szCs w:val="24"/>
        </w:rPr>
        <w:t>Kovoor</w:t>
      </w:r>
      <w:proofErr w:type="spellEnd"/>
      <w:r>
        <w:rPr>
          <w:rFonts w:ascii="Times New Roman" w:eastAsia="Times New Roman" w:hAnsi="Times New Roman" w:cs="Times New Roman"/>
          <w:sz w:val="24"/>
          <w:szCs w:val="24"/>
        </w:rPr>
        <w:t xml:space="preserve"> et al., 2021). AR is increasingly being used in </w:t>
      </w:r>
      <w:r>
        <w:rPr>
          <w:rFonts w:ascii="Times New Roman" w:eastAsia="Times New Roman" w:hAnsi="Times New Roman" w:cs="Times New Roman"/>
          <w:sz w:val="24"/>
          <w:szCs w:val="24"/>
        </w:rPr>
        <w:lastRenderedPageBreak/>
        <w:t xml:space="preserve">healthcare education both in surgical and nurse training. Performing healthcare practices that violate the integrity of the body requires consideration for optimal methods of teaching to promote patient safety and satisfaction (Kurt et al., 2021). </w:t>
      </w:r>
    </w:p>
    <w:p w14:paraId="4A4E290B" w14:textId="77777777" w:rsidR="00D401A7" w:rsidRDefault="00000000">
      <w:pPr>
        <w:spacing w:after="80"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AR has been mainly used in pilot studies and prototypes in nursing (Kurt et al, 2021). </w:t>
      </w:r>
      <w:proofErr w:type="spellStart"/>
      <w:r>
        <w:rPr>
          <w:rFonts w:ascii="Times New Roman" w:eastAsia="Times New Roman" w:hAnsi="Times New Roman" w:cs="Times New Roman"/>
          <w:sz w:val="24"/>
          <w:szCs w:val="24"/>
        </w:rPr>
        <w:t>Aebersold</w:t>
      </w:r>
      <w:proofErr w:type="spellEnd"/>
      <w:r>
        <w:rPr>
          <w:rFonts w:ascii="Times New Roman" w:eastAsia="Times New Roman" w:hAnsi="Times New Roman" w:cs="Times New Roman"/>
          <w:sz w:val="24"/>
          <w:szCs w:val="24"/>
        </w:rPr>
        <w:t xml:space="preserve"> et al. (2018) used an iPad to deliver an AR-based simulation of nasogastric tube insertion, where nursing students subsequently demonstrated improved perception of learning and understanding and an enhanced ability to identify anatomical structures (p = .011). Another nursing skill, injection practices, is a frequently used and feared skill involving high risk of error with knowledge and skill acquisition below the targeted level (Kurt et al., 2021). Kurt et al. (2021) evaluated AR-enhanced educational materials for simulating injection practices among nursing students; students receiving the educational materials demonstrated an increase in motivation, self-confidence, skill level, and knowledge (p &lt; 0.05). </w:t>
      </w:r>
    </w:p>
    <w:p w14:paraId="33895DCB"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simulation is being incorporated into fundamental surgical/procedure skills training, allowing for its evolution. Largely, this is being accomplished using virtual headset technology. Suzuki et al. (2021) argues that AR technology should improve the learning process within interventional radiology. Their source reiterated that </w:t>
      </w:r>
      <w:r>
        <w:rPr>
          <w:rFonts w:ascii="Times New Roman" w:eastAsia="Times New Roman" w:hAnsi="Times New Roman" w:cs="Times New Roman"/>
          <w:sz w:val="24"/>
          <w:szCs w:val="24"/>
          <w:highlight w:val="white"/>
        </w:rPr>
        <w:t>AR allows for improved anatomical visualization; furthermore, AR studies have demonstrated improvements in student motivation for learning, interactivity, procedural planning, technical performance, material comprehension and material retention (</w:t>
      </w:r>
      <w:proofErr w:type="spellStart"/>
      <w:r>
        <w:rPr>
          <w:rFonts w:ascii="Times New Roman" w:eastAsia="Times New Roman" w:hAnsi="Times New Roman" w:cs="Times New Roman"/>
          <w:sz w:val="24"/>
          <w:szCs w:val="24"/>
          <w:highlight w:val="white"/>
        </w:rPr>
        <w:t>Uppot</w:t>
      </w:r>
      <w:proofErr w:type="spellEnd"/>
      <w:r>
        <w:rPr>
          <w:rFonts w:ascii="Times New Roman" w:eastAsia="Times New Roman" w:hAnsi="Times New Roman" w:cs="Times New Roman"/>
          <w:sz w:val="24"/>
          <w:szCs w:val="24"/>
          <w:highlight w:val="white"/>
        </w:rPr>
        <w:t xml:space="preserve"> et al., 2019). </w:t>
      </w:r>
      <w:r>
        <w:rPr>
          <w:rFonts w:ascii="Times New Roman" w:eastAsia="Times New Roman" w:hAnsi="Times New Roman" w:cs="Times New Roman"/>
          <w:sz w:val="24"/>
          <w:szCs w:val="24"/>
        </w:rPr>
        <w:t xml:space="preserve">By comparing simulation methods for central venous cannulation performed by radiologists, outcome measurements favored an approach combining ultrasound with an AR phantom and HoloLens immersive headset display for subclavian venous cannulation, but not internal jugular cannulation. They found that AR-supplemented training resulted in improved subjective and objective measures when performing a venous canulation </w:t>
      </w:r>
      <w:r>
        <w:rPr>
          <w:rFonts w:ascii="Times New Roman" w:eastAsia="Times New Roman" w:hAnsi="Times New Roman" w:cs="Times New Roman"/>
          <w:sz w:val="24"/>
          <w:szCs w:val="24"/>
        </w:rPr>
        <w:lastRenderedPageBreak/>
        <w:t xml:space="preserve">procedure. In order to teach Le </w:t>
      </w:r>
      <w:proofErr w:type="gramStart"/>
      <w:r>
        <w:rPr>
          <w:rFonts w:ascii="Times New Roman" w:eastAsia="Times New Roman" w:hAnsi="Times New Roman" w:cs="Times New Roman"/>
          <w:sz w:val="24"/>
          <w:szCs w:val="24"/>
        </w:rPr>
        <w:t>Fort</w:t>
      </w:r>
      <w:proofErr w:type="gramEnd"/>
      <w:r>
        <w:rPr>
          <w:rFonts w:ascii="Times New Roman" w:eastAsia="Times New Roman" w:hAnsi="Times New Roman" w:cs="Times New Roman"/>
          <w:sz w:val="24"/>
          <w:szCs w:val="24"/>
        </w:rPr>
        <w:t xml:space="preserve"> I Osteotomy repair, </w:t>
      </w:r>
      <w:proofErr w:type="spellStart"/>
      <w:r>
        <w:rPr>
          <w:rFonts w:ascii="Times New Roman" w:eastAsia="Times New Roman" w:hAnsi="Times New Roman" w:cs="Times New Roman"/>
          <w:sz w:val="24"/>
          <w:szCs w:val="24"/>
        </w:rPr>
        <w:t>Pulijala</w:t>
      </w:r>
      <w:proofErr w:type="spellEnd"/>
      <w:r>
        <w:rPr>
          <w:rFonts w:ascii="Times New Roman" w:eastAsia="Times New Roman" w:hAnsi="Times New Roman" w:cs="Times New Roman"/>
          <w:sz w:val="24"/>
          <w:szCs w:val="24"/>
        </w:rPr>
        <w:t xml:space="preserve"> et al. (2017) used an Oculus Rift immersive reality headset and Leap Motion controller to create a 360-degree operating room view, stereoscopic procedure visualization, and 3-dimensional (3D) interaction. They proposed that the performance of surgical procedures requires fundamental knowledge of surgery, anatomy, and tools, accompanied by “overlearning” until skills are performed without fear; they cited immersive reality technologies as a potential answer. Likert scale revealed that a virtual reality (VR) simulation group of surgical residents performing Le Fort I osteotomy had significantly increased self-confidence (p = .000) with a medium effect size of 0.642 and showed significantly greater self-confidence scores compared with the control group (p = .034). However, no significance was noted for the comparison of a knowledge outcome between each group per ANOVA testing. </w:t>
      </w:r>
    </w:p>
    <w:p w14:paraId="37E00392" w14:textId="77777777" w:rsidR="00D401A7" w:rsidRDefault="00000000">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Kovoor</w:t>
      </w:r>
      <w:proofErr w:type="spellEnd"/>
      <w:r>
        <w:rPr>
          <w:rFonts w:ascii="Times New Roman" w:eastAsia="Times New Roman" w:hAnsi="Times New Roman" w:cs="Times New Roman"/>
          <w:sz w:val="24"/>
          <w:szCs w:val="24"/>
        </w:rPr>
        <w:t xml:space="preserve"> et al. (2021) investigated the validity and effectiveness of various AR-based technologies as a potential method to enhance surgical education and training, not including cricothyrotomy.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studies included in this systematic review established AR’s validity as an educational tool, and revealed that AR is effective for surgical skills acquisition, particularly with laparoscopic surgical skills and complete surgical procedure performance, irrespective of surgical specialty. </w:t>
      </w:r>
      <w:proofErr w:type="spellStart"/>
      <w:r>
        <w:rPr>
          <w:rFonts w:ascii="Times New Roman" w:eastAsia="Times New Roman" w:hAnsi="Times New Roman" w:cs="Times New Roman"/>
          <w:sz w:val="24"/>
          <w:szCs w:val="24"/>
        </w:rPr>
        <w:t>Aebersold</w:t>
      </w:r>
      <w:proofErr w:type="spellEnd"/>
      <w:r>
        <w:rPr>
          <w:rFonts w:ascii="Times New Roman" w:eastAsia="Times New Roman" w:hAnsi="Times New Roman" w:cs="Times New Roman"/>
          <w:sz w:val="24"/>
          <w:szCs w:val="24"/>
        </w:rPr>
        <w:t xml:space="preserve"> et al. (2018) reported that AR effectively compliments human cognitive processes and various skill performance measures; results of its efficacy in the above studies supports this notion.</w:t>
      </w:r>
    </w:p>
    <w:p w14:paraId="27F5D52D"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 Statement &amp; Purpose</w:t>
      </w:r>
    </w:p>
    <w:p w14:paraId="1CFFF0B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American Society of Anesthesiology (ASA) Difficult Airway Algorithm was developed to guide clinicians in the management of the predicted difficult airway or failed airway before or after anesthetic induction (Hung &amp; Murphy, 2017). This algorithm delineates </w:t>
      </w:r>
      <w:r>
        <w:rPr>
          <w:rFonts w:ascii="Times New Roman" w:eastAsia="Times New Roman" w:hAnsi="Times New Roman" w:cs="Times New Roman"/>
          <w:sz w:val="24"/>
          <w:szCs w:val="24"/>
        </w:rPr>
        <w:lastRenderedPageBreak/>
        <w:t xml:space="preserve">how to proceed through the ‘cannot-intubate, cannot-ventilate’ (CICV) pathway. Certified Registered Nurse Anesthetists (CRNAs) are responsible for acknowledging and adhering to each step in the difficult airway algorithm if an adequate airway for gas exchange cannot be established; this includes invasive, surgical access via cricothyrotomy.         </w:t>
      </w:r>
    </w:p>
    <w:p w14:paraId="21C2A6BA"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that cricothyrotomy is rarely performed, CRNAs have little confidence in performing this skill in a true emergent situation; in fact, this skill imparts on the provider a significantly negative psychological toll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Silverio et al., 2021). Therefore, there is a need for continuous and ongoing training for performing this life saving measure. The most effective way to train CRNAs to perform this skill is unknown. Literature suggests that simulation training and immersive reality can be effective in developing and maintaining the skill, knowledge, and confidence of healthcare providers, but what remains unclear is the role immersive simulation techniques have in cricothyrotomy education for CRNAs specifically. The purpose of this DNP quality improvement (QI) project was to address this knowledge gap and provide CRNAs, who register for a cricothyrotomy workshop at the Michigan Association of Nurse Anesthetist’s (MANA) Fall Conference 2022, an opportunity to foster their professional development in this area. Immersive hands-on provider training utilizing the Lumis Insight Platform was utilized.</w:t>
      </w:r>
    </w:p>
    <w:p w14:paraId="4382E5EB" w14:textId="77777777" w:rsidR="00D401A7" w:rsidRDefault="00000000">
      <w:pPr>
        <w:spacing w:line="480" w:lineRule="auto"/>
        <w:ind w:firstLine="720"/>
        <w:rPr>
          <w:sz w:val="16"/>
          <w:szCs w:val="16"/>
        </w:rPr>
      </w:pPr>
      <w:r>
        <w:rPr>
          <w:rFonts w:ascii="Times New Roman" w:eastAsia="Times New Roman" w:hAnsi="Times New Roman" w:cs="Times New Roman"/>
          <w:sz w:val="24"/>
          <w:szCs w:val="24"/>
        </w:rPr>
        <w:t>The question to be answered with this project was: Do CRNAs demonstrate greater confidence and knowledge, as well as a higher level of skill performance in performing cricothyrotomy procedures, after education via AR technology?</w:t>
      </w:r>
      <w:r>
        <w:rPr>
          <w:sz w:val="16"/>
          <w:szCs w:val="16"/>
        </w:rPr>
        <w:t xml:space="preserve"> </w:t>
      </w:r>
    </w:p>
    <w:p w14:paraId="0FBB32A1"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Objectives</w:t>
      </w:r>
    </w:p>
    <w:p w14:paraId="1B91FE31"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primary objective of this DNP project was to assess if immersive simulation via Lumis projection technology is an effective simulation method for increasing CRNA self-</w:t>
      </w:r>
      <w:r>
        <w:rPr>
          <w:rFonts w:ascii="Times New Roman" w:eastAsia="Times New Roman" w:hAnsi="Times New Roman" w:cs="Times New Roman"/>
          <w:sz w:val="24"/>
          <w:szCs w:val="24"/>
        </w:rPr>
        <w:lastRenderedPageBreak/>
        <w:t xml:space="preserve">confidence with the task of cricothyrotomy. Secondary objectives include assessing this simulation modality’s effect on knowledge acquisition and skill performance with the task of cricothyrotomy.       </w:t>
      </w:r>
    </w:p>
    <w:p w14:paraId="4AD15E04"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Theoretical Framework</w:t>
      </w:r>
    </w:p>
    <w:p w14:paraId="5D108C7A" w14:textId="77777777" w:rsidR="00D401A7" w:rsidRDefault="00000000">
      <w:pPr>
        <w:spacing w:after="8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practice theory that was utilized for this project is the Johns Hopkins Nursing evidence-based practice model (Appendix B). The overall goal of this model is to efficiently integrate the latest evidence into practice or patient care. The Johns Hopkins nursing center for evidence-based practice created the Practice-question, Evidence, Translation (PET) process, a three-step process to facilitate evidence-based practice divided into practice questions, evidence, and translation (JHNEB, 2021). The first step, practice question, starts with recruiting an interprofessional team, defining a problem and developing an evidence-based practice question. The second step, evidence, is accomplished by a searching for evidence, appraisal of evidence, a summary and synthesis of the evidence, and identification of knowledge gaps. The third step, translation, is accomplished by determining fit and feasibility of recommendations, creating an action plan, implementing an action plan, evaluating outcomes, reporting outcomes to stakeholders, and identifying next steps and disseminate findings (JHNEB, 2021). The translation step took on a larger role within this DNP project as the review of the literature revealed a knowledge gap regarding immersive simulation’s efficacy in cricothyrotomy education. The creation and implementation of an action plan took the form of a QI project with the goal of generating the data needed to determine best practices leading to practice improvements.</w:t>
      </w:r>
    </w:p>
    <w:p w14:paraId="5EEA1A0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conceptual framework that was utilized for this project is the National League for Nursing (NLN) Jeffries simulation theory (Appendix B). Under this framework, technology is </w:t>
      </w:r>
      <w:r>
        <w:rPr>
          <w:rFonts w:ascii="Times New Roman" w:eastAsia="Times New Roman" w:hAnsi="Times New Roman" w:cs="Times New Roman"/>
          <w:sz w:val="24"/>
          <w:szCs w:val="24"/>
        </w:rPr>
        <w:lastRenderedPageBreak/>
        <w:t>merged with experiential learning and unique simulation experiences to bolster learning and skill performance (</w:t>
      </w: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et al., 2019). The NLN Jeffries simulation theory differentiates the simulation process into select subcategories: “background and design”; “simulation experience”; and “outcomes”. Within this theory, “background and design” must address the overall fit of the simulation in the larger curriculum, followed by purpose, goals, and setting. The proposed simulation complemented difficult airway algorithm education by teaching a HRLF skill crucial to its adherence and patient safety. Applying this framework to this project, the purpose and pertinent goals are as follows: primary goal to determine the role of immersive simulation regarding improving CRNA provider self-confidence during cricothyrotomy, with secondary goals to determine AR simulation’s role in improving knowledge and skill performance. Resources used to accomplish these goals included university-supplied AR projection-based equipment, as well as partial task trainers and/or mannequins, and conference time. This project took place at the Michigan Association of Nurse Anesthetists Fall 2022 Conference. </w:t>
      </w:r>
    </w:p>
    <w:p w14:paraId="55F58C75"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design of this project was centered around the development of a scripted educational module to guide group instruction with the Lumis projection-based, AR platform. A post-simulation debrief session and surveys were designed and completed. The simulation experience for this project was facilitated by promoting an environment that was experiential, trusting, interactive, collaborative, and learner-centered (Jeffries et al., 2015). Sufficient preparation, educational presentation, periodic redirection and provider feedback and presence fostered trust and built the relationship-between facilitator and participant. Participant attributes that influenced outcomes included previous experience with cricothyrotomy, years practicing as a CRNA, self-confidence prior to simulation, and age. Outcomes were divided into system, patient, and participant outcomes. Organizational/systems outcomes that were affected included </w:t>
      </w:r>
      <w:r>
        <w:rPr>
          <w:rFonts w:ascii="Times New Roman" w:eastAsia="Times New Roman" w:hAnsi="Times New Roman" w:cs="Times New Roman"/>
          <w:sz w:val="24"/>
          <w:szCs w:val="24"/>
        </w:rPr>
        <w:lastRenderedPageBreak/>
        <w:t>cost-effectiveness and modification to existing educational programs. Patient outcomes may include lower morbidity and mortality related to improved airway management. Participant outcomes included self-reported confidence, knowledge gained, and skill performance in performing cricothyrotomy immediately after simulation training.</w:t>
      </w:r>
    </w:p>
    <w:p w14:paraId="481A3F64"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Methodology</w:t>
      </w:r>
    </w:p>
    <w:p w14:paraId="31FEC5D5"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Design</w:t>
      </w:r>
    </w:p>
    <w:p w14:paraId="15F84271"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After IRB review, this DNP project was deemed a QI project. In collaboration with Lumis Corporation, a corporation which blends the physical learning environment with the digital environment, an educational program was designed around an HRLF scenario requiring cricothyrotomy. This scenario provided an active learning opportunity for CRNAs enrolled in an AR-based simulation workshop utilizing the Lumis AR platform. This system is capable of projecting supplemental images over a physical task trainer and provide pre-programmed instruction via a computerized tablet. An educational module depicting relevant anatomy, cricothyrotomy methods, indications, contraindications, and the steps pertinent to performing a cricothyrotomy using a </w:t>
      </w:r>
      <w:proofErr w:type="spellStart"/>
      <w:r>
        <w:rPr>
          <w:rFonts w:ascii="Times New Roman" w:eastAsia="Times New Roman" w:hAnsi="Times New Roman" w:cs="Times New Roman"/>
          <w:sz w:val="24"/>
          <w:szCs w:val="24"/>
        </w:rPr>
        <w:t>Melker</w:t>
      </w:r>
      <w:proofErr w:type="spellEnd"/>
      <w:r>
        <w:rPr>
          <w:rFonts w:ascii="Times New Roman" w:eastAsia="Times New Roman" w:hAnsi="Times New Roman" w:cs="Times New Roman"/>
          <w:sz w:val="24"/>
          <w:szCs w:val="24"/>
        </w:rPr>
        <w:t xml:space="preserve"> kit was developed. A standardized pre- and post-education knowledge and confidence assessment was provided and utilized, along with a skill check-off list, to measure each enrolled CRNA’s knowledge, confidence, and skill performance. Prior to project implementation, interrater reliability between investigators was tested when using the skills-checklist; first-year SRNA students from Oakland University were assessed via their performance of cricothyrotomy during a difficult airway workshop. </w:t>
      </w:r>
    </w:p>
    <w:p w14:paraId="70199628"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Setting</w:t>
      </w:r>
    </w:p>
    <w:p w14:paraId="20A263B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setting for this project took place at the MANA Fall 2022 Conference at the Grand Traverse Resort in Acme, Michigan.</w:t>
      </w:r>
    </w:p>
    <w:p w14:paraId="10D7F53E"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Key Personnel/Stakeholders</w:t>
      </w:r>
    </w:p>
    <w:p w14:paraId="47E800DF"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Key personnel for this project included co-principal investigators Zach </w:t>
      </w:r>
      <w:proofErr w:type="spellStart"/>
      <w:r>
        <w:rPr>
          <w:rFonts w:ascii="Times New Roman" w:eastAsia="Times New Roman" w:hAnsi="Times New Roman" w:cs="Times New Roman"/>
          <w:sz w:val="24"/>
          <w:szCs w:val="24"/>
        </w:rPr>
        <w:t>Frenette</w:t>
      </w:r>
      <w:proofErr w:type="spellEnd"/>
      <w:r>
        <w:rPr>
          <w:rFonts w:ascii="Times New Roman" w:eastAsia="Times New Roman" w:hAnsi="Times New Roman" w:cs="Times New Roman"/>
          <w:sz w:val="24"/>
          <w:szCs w:val="24"/>
        </w:rPr>
        <w:t xml:space="preserve"> and Brendan </w:t>
      </w:r>
      <w:proofErr w:type="spellStart"/>
      <w:r>
        <w:rPr>
          <w:rFonts w:ascii="Times New Roman" w:eastAsia="Times New Roman" w:hAnsi="Times New Roman" w:cs="Times New Roman"/>
          <w:sz w:val="24"/>
          <w:szCs w:val="24"/>
        </w:rPr>
        <w:t>Pytlak</w:t>
      </w:r>
      <w:proofErr w:type="spellEnd"/>
      <w:r>
        <w:rPr>
          <w:rFonts w:ascii="Times New Roman" w:eastAsia="Times New Roman" w:hAnsi="Times New Roman" w:cs="Times New Roman"/>
          <w:sz w:val="24"/>
          <w:szCs w:val="24"/>
        </w:rPr>
        <w:t>, two doctoral nursing students currently attending Oakland University-Beaumont Graduate Program of Nurse Anesthesia (OUBGPNA), as well as their faculty project chair Laura Rodgers, DNAP, CRNA, CHSE. An additional stakeholder included Doug Nelson, PhD. from Lumis Corporation. MANA administrators assisting with scheduling the educational workshops were included as stakeholders. Task trainers for hands-on use were acquired through Oakland University. Lumis projection devices were acquired through Oakland University, with one additional unit acquired from Lumis corporation directly.</w:t>
      </w:r>
    </w:p>
    <w:p w14:paraId="2A765171"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Participants/Population &amp; Recruitment Strategy </w:t>
      </w:r>
    </w:p>
    <w:p w14:paraId="181F1B25"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included practicing CRNAs attending the MANA fall conference from September 30th to October 2nd, 2022, who enrolled in the workshop when registering for the conference. At time of online registration via MANA’s website, CRNA members were provided with an information sheet containing detailed objectives and a brief description of the cricothyrotomy simulation workshop (Appendix C). Upon online conference registration, CRNAs consented and registered voluntarily for the educational session at a time of their choosing. Participants chose one of four 60-minute sessions, each with an allotted capacity of ten participants for each session.</w:t>
      </w:r>
      <w:r>
        <w:rPr>
          <w:sz w:val="24"/>
          <w:szCs w:val="24"/>
        </w:rPr>
        <w:t xml:space="preserve"> </w:t>
      </w:r>
    </w:p>
    <w:p w14:paraId="7C610BAA" w14:textId="77777777" w:rsidR="00D401A7"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Project Implementation, Intervention Plan &amp; Procedures</w:t>
      </w:r>
      <w:r>
        <w:rPr>
          <w:rFonts w:ascii="Times New Roman" w:eastAsia="Times New Roman" w:hAnsi="Times New Roman" w:cs="Times New Roman"/>
          <w:i/>
          <w:sz w:val="24"/>
          <w:szCs w:val="24"/>
        </w:rPr>
        <w:t xml:space="preserve"> </w:t>
      </w:r>
    </w:p>
    <w:p w14:paraId="320985ED"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Prior to the conference, CRNAs attending the MANA 2022 fall conference viewed the simulation workshop information sheet (Appendix C) and registered online at the time of general conference registration to participate in the cricothyrotomy simulation workshop. Additional information sheets were made available at the time of the workshop. Upon arrival to the </w:t>
      </w:r>
      <w:r>
        <w:rPr>
          <w:rFonts w:ascii="Times New Roman" w:eastAsia="Times New Roman" w:hAnsi="Times New Roman" w:cs="Times New Roman"/>
          <w:sz w:val="24"/>
          <w:szCs w:val="24"/>
        </w:rPr>
        <w:lastRenderedPageBreak/>
        <w:t xml:space="preserve">workshop, participants were provided with and requested to sign the receipt of workshop information sheet (Appendix D). Four groups of ten participants each were divided among four 60-minute time sessions of their choosing. Paper-based data collection packets, individual packets consisting of a demographic questionnaire, pre- and post-education knowledge and confidence surveys, and a technology usability survey (Appendix E), were distributed to each participant upon their arrival to the workshop and labeled with a respective unique 4-digit identifier. A skills checklist measuring performance was added to each participant’s packet upon completion and grading of the hands-on cricothyrotomy performance (Appendix F). Before beginning the learning module, the participant was asked to complete the demographics questionnaire, followed by the pre-education knowledge and confidence surveys. Once complete, each group of 10 participants were subdivided into two groups of five participants each. Each five-person group was sent to one of two stations, each with a Lumis projection system, task trainer, and </w:t>
      </w:r>
      <w:proofErr w:type="spellStart"/>
      <w:r>
        <w:rPr>
          <w:rFonts w:ascii="Times New Roman" w:eastAsia="Times New Roman" w:hAnsi="Times New Roman" w:cs="Times New Roman"/>
          <w:sz w:val="24"/>
          <w:szCs w:val="24"/>
        </w:rPr>
        <w:t>Melker</w:t>
      </w:r>
      <w:proofErr w:type="spellEnd"/>
      <w:r>
        <w:rPr>
          <w:rFonts w:ascii="Times New Roman" w:eastAsia="Times New Roman" w:hAnsi="Times New Roman" w:cs="Times New Roman"/>
          <w:sz w:val="24"/>
          <w:szCs w:val="24"/>
        </w:rPr>
        <w:t xml:space="preserve"> cricothyrotomy kits. A co-principal investigator assisted CRNA participants to work through the educational module at each station. This module included the following content: indications and contraindications for cricothyrotomy, appropriate anatomy and landmarks for performing cricothyrotomy, options for surgical access; steps to performing a cricothyrotomy using a </w:t>
      </w:r>
      <w:proofErr w:type="spellStart"/>
      <w:r>
        <w:rPr>
          <w:rFonts w:ascii="Times New Roman" w:eastAsia="Times New Roman" w:hAnsi="Times New Roman" w:cs="Times New Roman"/>
          <w:sz w:val="24"/>
          <w:szCs w:val="24"/>
        </w:rPr>
        <w:t>Melker</w:t>
      </w:r>
      <w:proofErr w:type="spellEnd"/>
      <w:r>
        <w:rPr>
          <w:rFonts w:ascii="Times New Roman" w:eastAsia="Times New Roman" w:hAnsi="Times New Roman" w:cs="Times New Roman"/>
          <w:sz w:val="24"/>
          <w:szCs w:val="24"/>
        </w:rPr>
        <w:t xml:space="preserve"> kit, and a simulated scenario walkthrough.</w:t>
      </w:r>
    </w:p>
    <w:p w14:paraId="326390AB"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Using the Lumis platform, respective anatomy and physiology was projected onto each task trainer for visualization The participant used a tablet to progress through the module. As a group at each station, the participants progressed through the module together. As the module ensued, the projected deep anatomical structures were removed, leaving only skin. A patient scenario was provided via a tablet. Surface anatomy and physiologic changes was projected onto the task trainer to augment the tablet scenario. At this time, the scenario was paused to allow </w:t>
      </w:r>
      <w:r>
        <w:rPr>
          <w:rFonts w:ascii="Times New Roman" w:eastAsia="Times New Roman" w:hAnsi="Times New Roman" w:cs="Times New Roman"/>
          <w:sz w:val="24"/>
          <w:szCs w:val="24"/>
        </w:rPr>
        <w:lastRenderedPageBreak/>
        <w:t xml:space="preserve">hands-on training for each participant to perform this individually. The participants’ performance was graded by the investigators using the standardized checklist, which was then added to each packet at the end of the session. Between individual performances, the task trainer skin that lies over the cricothyroid membrane was covered with a replacement skin to cover the preexisting puncture site and facilitate repeat landmark identification. Upon individual skill completion, participants were shown the effects of their cannulation attempt with anatomical projection and vital signs via the tablet. A debriefing session followed. Participants were asked to complete the post-education knowledge and confidence surveys, containing the same content as the pre-education surveys and a technology usability survey. This process was then repeated for each workshop session. </w:t>
      </w:r>
    </w:p>
    <w:p w14:paraId="30B1B31C"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Collection Instruments </w:t>
      </w:r>
    </w:p>
    <w:p w14:paraId="2C30FB7C"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Data collected throughout this workshop was obtained from the paper-based data collection packet given to each participant at the beginning of the workshop. </w:t>
      </w:r>
      <w:r>
        <w:rPr>
          <w:rFonts w:ascii="Times New Roman" w:eastAsia="Times New Roman" w:hAnsi="Times New Roman" w:cs="Times New Roman"/>
          <w:sz w:val="24"/>
          <w:szCs w:val="24"/>
          <w:highlight w:val="white"/>
        </w:rPr>
        <w:t xml:space="preserve">This packet consisted of demographic data, followed by a pre-education knowledge and confidence assessment that was to be completed by the participant prior to beginning the learning module. The participant then underwent the learning module. After completion of the learning module the participant completed a post-education confidence and knowledge assessment, as well as a technology usability survey. </w:t>
      </w:r>
      <w:r>
        <w:rPr>
          <w:rFonts w:ascii="Times New Roman" w:eastAsia="Times New Roman" w:hAnsi="Times New Roman" w:cs="Times New Roman"/>
          <w:i/>
          <w:sz w:val="24"/>
          <w:szCs w:val="24"/>
        </w:rPr>
        <w:br/>
      </w:r>
      <w:r>
        <w:rPr>
          <w:rFonts w:ascii="Times New Roman" w:eastAsia="Times New Roman" w:hAnsi="Times New Roman" w:cs="Times New Roman"/>
          <w:sz w:val="24"/>
          <w:szCs w:val="24"/>
          <w:highlight w:val="white"/>
        </w:rPr>
        <w:tab/>
        <w:t xml:space="preserve">As participants were conducting their individual hands-on cricothyrotomy, their adherence to the skills checklist was assessed by a co-principal investigator. This checklist was not provided to participants to view and was accessible by investigators only. Prior to implementing this skills checklist with registered CRNAs at the MANA conference, interrater </w:t>
      </w:r>
      <w:r>
        <w:rPr>
          <w:rFonts w:ascii="Times New Roman" w:eastAsia="Times New Roman" w:hAnsi="Times New Roman" w:cs="Times New Roman"/>
          <w:sz w:val="24"/>
          <w:szCs w:val="24"/>
          <w:highlight w:val="white"/>
        </w:rPr>
        <w:lastRenderedPageBreak/>
        <w:t>reliability was assessed by comparing consistency of raters’ results with a cohort of OUBGPNA first-year SRNAs undergoing the Lumis module education at a difficult airway workshop.</w:t>
      </w:r>
    </w:p>
    <w:p w14:paraId="6E2C945E"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Potential barriers to implementation and sustainability </w:t>
      </w:r>
    </w:p>
    <w:p w14:paraId="3F44CF90"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Barriers to implementation arose from time constraints, group instruction, the registration process, and potential software malfunction. Participants were given only a 60-minute session at a time to arrive, complete the module as a group, perform individual cricothyrotomies, and complete their respective data packets. Proposed as a method to assist with time constraints and participant focus, group instruction may have introduced an advantage for subsequent participants who performed after others. A full dependency on technology to perform the simulation education would have resulted in project difficulties if a technology malfunction occurred.</w:t>
      </w:r>
    </w:p>
    <w:p w14:paraId="4DDB9311"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Ethical considerations &amp; risks</w:t>
      </w:r>
    </w:p>
    <w:p w14:paraId="7BA5BF2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implementing this DNP project, IRB review through Oakland University was obtained (Appendix G) for QI status. Confidentiality of participant information exists as an ethical consideration; therefore, participants were de-identified by creating a self-identified participant number on the pre- and post-education, confidence assessments and skill performance checklists. During project dissemination, confidentiality was preserved. Ethical dilemmas were null as participation was strictly voluntary and did not involve direct patient care. Hands-on training was performed on task trainers and the Lumis Projection system versus human test subjects. </w:t>
      </w:r>
    </w:p>
    <w:p w14:paraId="20A31C0D"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Potential benefits &amp; outcomes</w:t>
      </w:r>
    </w:p>
    <w:p w14:paraId="2C77F351"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Through hands-on practice of the HRLF scenario involving cricothyrotomy, CRNAs were granted the opportunity to potentially improve their knowledge, confidence, and overall </w:t>
      </w:r>
      <w:r>
        <w:rPr>
          <w:rFonts w:ascii="Times New Roman" w:eastAsia="Times New Roman" w:hAnsi="Times New Roman" w:cs="Times New Roman"/>
          <w:sz w:val="24"/>
          <w:szCs w:val="24"/>
        </w:rPr>
        <w:lastRenderedPageBreak/>
        <w:t xml:space="preserve">skill in a rarely used, but critical procedure for managing the failed airway. This has the potential to improve independent provider practice, as well as improve patient safety by increasing adherence to the difficult airway algorithm and decreasing time delays for reestablishing ventilation and oxygenation in the case of a failed airway. </w:t>
      </w:r>
    </w:p>
    <w:p w14:paraId="10BE470A"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Proposed timeline</w:t>
      </w:r>
    </w:p>
    <w:p w14:paraId="6EB81196"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A proposed project timeline can be viewed in Appendix H.</w:t>
      </w:r>
    </w:p>
    <w:p w14:paraId="2687A839"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resources, budget &amp; funding plan</w:t>
      </w:r>
    </w:p>
    <w:p w14:paraId="545F013A" w14:textId="71BEDEF2" w:rsidR="00FC4600" w:rsidRPr="005843E8" w:rsidRDefault="00000000" w:rsidP="005843E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project utilized resources supplied through the OUBGPNA. Resources include Kresge library, faculty chair collaboration, Oakland University task trainers, </w:t>
      </w:r>
      <w:proofErr w:type="spellStart"/>
      <w:r>
        <w:rPr>
          <w:rFonts w:ascii="Times New Roman" w:eastAsia="Times New Roman" w:hAnsi="Times New Roman" w:cs="Times New Roman"/>
          <w:sz w:val="24"/>
          <w:szCs w:val="24"/>
        </w:rPr>
        <w:t>Melker</w:t>
      </w:r>
      <w:proofErr w:type="spellEnd"/>
      <w:r>
        <w:rPr>
          <w:rFonts w:ascii="Times New Roman" w:eastAsia="Times New Roman" w:hAnsi="Times New Roman" w:cs="Times New Roman"/>
          <w:sz w:val="24"/>
          <w:szCs w:val="24"/>
        </w:rPr>
        <w:t xml:space="preserve"> cricothyrotomy kits, and data collection tools. Additionally, this project utilized the Lumis platform projection module and software purchased by Oakland University. Time and venue contributions were made by MANA administrators to facilitate the project at their fall conference 2022. Costs included student travel, and miscellaneous supply purchases to create the data collection packets. Costs were estimated as follows: $400 for travel, and $200 for miscellaneous supplies. Therefore, the estimated budget for this project was $600 of which the co-principal investigators were responsible for.</w:t>
      </w:r>
    </w:p>
    <w:p w14:paraId="58E6469B"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Evaluation Plan</w:t>
      </w:r>
    </w:p>
    <w:p w14:paraId="152F974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was collected from CRNAs using the data collection packet; this data was inputted into an Excel spreadsheet. When evaluating this data, the authors’ main objectives were to determine the AR-based simulation workshop’s effect on provider confidence and knowledge, as well as level of skill performance when demonstrating the skill of cricothyrotomy. </w:t>
      </w:r>
    </w:p>
    <w:p w14:paraId="2516A690" w14:textId="77777777" w:rsidR="005843E8" w:rsidRDefault="005843E8">
      <w:pPr>
        <w:spacing w:line="480" w:lineRule="auto"/>
        <w:rPr>
          <w:rFonts w:ascii="Times New Roman" w:eastAsia="Times New Roman" w:hAnsi="Times New Roman" w:cs="Times New Roman"/>
          <w:b/>
          <w:sz w:val="24"/>
          <w:szCs w:val="24"/>
        </w:rPr>
      </w:pPr>
    </w:p>
    <w:p w14:paraId="429868DA" w14:textId="77777777" w:rsidR="005843E8" w:rsidRDefault="005843E8">
      <w:pPr>
        <w:spacing w:line="480" w:lineRule="auto"/>
        <w:rPr>
          <w:rFonts w:ascii="Times New Roman" w:eastAsia="Times New Roman" w:hAnsi="Times New Roman" w:cs="Times New Roman"/>
          <w:b/>
          <w:sz w:val="24"/>
          <w:szCs w:val="24"/>
        </w:rPr>
      </w:pPr>
    </w:p>
    <w:p w14:paraId="0D2ACF87" w14:textId="7100B122"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Provider Confidence</w:t>
      </w:r>
    </w:p>
    <w:p w14:paraId="3E6817C7"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Pertaining to provider confidence, Likert scale responses were coded using numbers (Very Unconfident = 1; Very Confident = 5), and an average response was assessed for both pre- and post-education confidence assessments. Using a SPSS statistical software package, a Wilcoxon </w:t>
      </w:r>
      <w:proofErr w:type="gramStart"/>
      <w:r>
        <w:rPr>
          <w:rFonts w:ascii="Times New Roman" w:eastAsia="Times New Roman" w:hAnsi="Times New Roman" w:cs="Times New Roman"/>
          <w:sz w:val="24"/>
          <w:szCs w:val="24"/>
        </w:rPr>
        <w:t>matched-pairs</w:t>
      </w:r>
      <w:proofErr w:type="gramEnd"/>
      <w:r>
        <w:rPr>
          <w:rFonts w:ascii="Times New Roman" w:eastAsia="Times New Roman" w:hAnsi="Times New Roman" w:cs="Times New Roman"/>
          <w:sz w:val="24"/>
          <w:szCs w:val="24"/>
        </w:rPr>
        <w:t xml:space="preserve"> signed rank test was utilized to determine if statistically significant differences occurred between pre- and post-simulation.</w:t>
      </w:r>
    </w:p>
    <w:p w14:paraId="3A650DCD"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Knowledge</w:t>
      </w:r>
    </w:p>
    <w:p w14:paraId="51CF4983"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pre- and post-knowledge assessments each consist of 10 identical multiple choice and/or true and false questions regarding performance of a cricothyrotomy. Using a SPSS statistical software package, a Wilcoxon </w:t>
      </w:r>
      <w:proofErr w:type="gramStart"/>
      <w:r>
        <w:rPr>
          <w:rFonts w:ascii="Times New Roman" w:eastAsia="Times New Roman" w:hAnsi="Times New Roman" w:cs="Times New Roman"/>
          <w:sz w:val="24"/>
          <w:szCs w:val="24"/>
        </w:rPr>
        <w:t>matched-pairs</w:t>
      </w:r>
      <w:proofErr w:type="gramEnd"/>
      <w:r>
        <w:rPr>
          <w:rFonts w:ascii="Times New Roman" w:eastAsia="Times New Roman" w:hAnsi="Times New Roman" w:cs="Times New Roman"/>
          <w:sz w:val="24"/>
          <w:szCs w:val="24"/>
        </w:rPr>
        <w:t xml:space="preserve"> signed rank test was utilized to determine if statistically significant differences occurred between pre- and post-simulation.</w:t>
      </w:r>
    </w:p>
    <w:p w14:paraId="184410D7"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 Performance</w:t>
      </w:r>
    </w:p>
    <w:p w14:paraId="46CDBC11" w14:textId="6A80923B" w:rsidR="00FC4600" w:rsidRPr="00FC4600" w:rsidRDefault="00000000" w:rsidP="00FC46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participants were conducting their individual hands-on cricothyrotomy they were graded by a co-principal investigator according to the skills checklist. Overall mean scores and an average were calculated using descriptive statistics to assess for level of skill performance. </w:t>
      </w:r>
    </w:p>
    <w:p w14:paraId="65D8AF4B" w14:textId="5BBEEE6D"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Project Implementation</w:t>
      </w:r>
    </w:p>
    <w:p w14:paraId="44C9CA2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October 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2022, co-principal investigators Zach </w:t>
      </w:r>
      <w:proofErr w:type="spellStart"/>
      <w:r>
        <w:rPr>
          <w:rFonts w:ascii="Times New Roman" w:eastAsia="Times New Roman" w:hAnsi="Times New Roman" w:cs="Times New Roman"/>
          <w:sz w:val="24"/>
          <w:szCs w:val="24"/>
        </w:rPr>
        <w:t>Frenette</w:t>
      </w:r>
      <w:proofErr w:type="spellEnd"/>
      <w:r>
        <w:rPr>
          <w:rFonts w:ascii="Times New Roman" w:eastAsia="Times New Roman" w:hAnsi="Times New Roman" w:cs="Times New Roman"/>
          <w:sz w:val="24"/>
          <w:szCs w:val="24"/>
        </w:rPr>
        <w:t xml:space="preserve"> and Brendan </w:t>
      </w:r>
      <w:proofErr w:type="spellStart"/>
      <w:r>
        <w:rPr>
          <w:rFonts w:ascii="Times New Roman" w:eastAsia="Times New Roman" w:hAnsi="Times New Roman" w:cs="Times New Roman"/>
          <w:sz w:val="24"/>
          <w:szCs w:val="24"/>
        </w:rPr>
        <w:t>Pytlak</w:t>
      </w:r>
      <w:proofErr w:type="spellEnd"/>
      <w:r>
        <w:rPr>
          <w:rFonts w:ascii="Times New Roman" w:eastAsia="Times New Roman" w:hAnsi="Times New Roman" w:cs="Times New Roman"/>
          <w:sz w:val="24"/>
          <w:szCs w:val="24"/>
        </w:rPr>
        <w:t xml:space="preserve">, along with their faculty project chair Laura Rodgers, DNAP, CRNA, attended the Fall MANA conference at the Grand Traverse Resort in Acme, Michigan. A conference room was provided and two Lumis projection platforms along with two mannequins designed for the simulation of cricothyrotomy were set up. Several tables and chairs were also provided for participants to fill out their data packets. On participant arrival the procedures described in the project implementation, intervention plan, and procedures section above were followed. Demographic </w:t>
      </w:r>
      <w:r>
        <w:rPr>
          <w:rFonts w:ascii="Times New Roman" w:eastAsia="Times New Roman" w:hAnsi="Times New Roman" w:cs="Times New Roman"/>
          <w:sz w:val="24"/>
          <w:szCs w:val="24"/>
        </w:rPr>
        <w:lastRenderedPageBreak/>
        <w:t>data, pre-education skill-confidence levels, pre-education knowledge levels, post-education skill-confidence levels, post-education knowledge levels, and skill-performance data were collected. In total, 27 participants attended the workshop and took part in the educational session. Three participants were excluded due to a failure to meet inclusion criteria or failing to complete the data packet. </w:t>
      </w:r>
    </w:p>
    <w:p w14:paraId="0C5D2851"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p>
    <w:p w14:paraId="6CE05F5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sample size was 24 CRNAs. Data retrieved from the data collection packets was compiled in Microsoft Excel, and statistical analysis was completed utilizing SPSS, a statistical software package, with the aid of a statistician. A Wilcoxon </w:t>
      </w:r>
      <w:proofErr w:type="gramStart"/>
      <w:r>
        <w:rPr>
          <w:rFonts w:ascii="Times New Roman" w:eastAsia="Times New Roman" w:hAnsi="Times New Roman" w:cs="Times New Roman"/>
          <w:sz w:val="24"/>
          <w:szCs w:val="24"/>
        </w:rPr>
        <w:t>matched-pairs</w:t>
      </w:r>
      <w:proofErr w:type="gramEnd"/>
      <w:r>
        <w:rPr>
          <w:rFonts w:ascii="Times New Roman" w:eastAsia="Times New Roman" w:hAnsi="Times New Roman" w:cs="Times New Roman"/>
          <w:sz w:val="24"/>
          <w:szCs w:val="24"/>
        </w:rPr>
        <w:t xml:space="preserve"> signed rank test was conducted to determine if there was a significant difference between participants’ pre- and post-education skill confidence. The analysis results revealed a significant difference in the participant’s composite confidence scores (z = - 4.29, p &lt; .001). The results further indicated a post-education increase in composite confidence (Mean = 4.26, SD = 0.42) from pre-education composite confidence (Mean = 2.90, SD = 0.57) (Appendix I).</w:t>
      </w:r>
    </w:p>
    <w:p w14:paraId="76B6D4D0"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Wilcoxon </w:t>
      </w:r>
      <w:proofErr w:type="gramStart"/>
      <w:r>
        <w:rPr>
          <w:rFonts w:ascii="Times New Roman" w:eastAsia="Times New Roman" w:hAnsi="Times New Roman" w:cs="Times New Roman"/>
          <w:sz w:val="24"/>
          <w:szCs w:val="24"/>
        </w:rPr>
        <w:t>matched-pairs</w:t>
      </w:r>
      <w:proofErr w:type="gramEnd"/>
      <w:r>
        <w:rPr>
          <w:rFonts w:ascii="Times New Roman" w:eastAsia="Times New Roman" w:hAnsi="Times New Roman" w:cs="Times New Roman"/>
          <w:sz w:val="24"/>
          <w:szCs w:val="24"/>
        </w:rPr>
        <w:t xml:space="preserve"> signed rank test was conducted to determine if there was a significant difference between participants’ pre- and post-knowledge assessment scores. The analysis revealed a significant difference in participants’ composite knowledge assessment scores (z = - 4.22, p &lt; .001). The results further indicated a post-education increase in composite knowledge assessment scores (Mean = 8.68/10, SD = 1.108) from pre-education composite knowledge assessment scores (Mean = 6.04/10, SD = 1.33) (Appendix I).</w:t>
      </w:r>
    </w:p>
    <w:p w14:paraId="5F0F169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Skill competence was assessed using a standardized skill checklist. The average score among the 24 participants was 7.36 (out of 8). </w:t>
      </w:r>
    </w:p>
    <w:p w14:paraId="60E26F67"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 the methodology, two co-co-principal investigators used the standardized skill checklist on their respective groups during the educational sessions. Inter-rater reliability was analyzed utilizing an intraclass correlation coefficient of 0.834, suggesting acceptable reliability for the measure.  </w:t>
      </w:r>
    </w:p>
    <w:p w14:paraId="69D8A65F"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Discussion</w:t>
      </w:r>
    </w:p>
    <w:p w14:paraId="37737031"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findings suggests that the simulation utilizing AR was effective in increasing participants’ self-reported skill-confidence and skill-knowledge. Utilizing the Wilcoxon </w:t>
      </w:r>
      <w:proofErr w:type="gramStart"/>
      <w:r>
        <w:rPr>
          <w:rFonts w:ascii="Times New Roman" w:eastAsia="Times New Roman" w:hAnsi="Times New Roman" w:cs="Times New Roman"/>
          <w:sz w:val="24"/>
          <w:szCs w:val="24"/>
        </w:rPr>
        <w:t>matched-pairs</w:t>
      </w:r>
      <w:proofErr w:type="gramEnd"/>
      <w:r>
        <w:rPr>
          <w:rFonts w:ascii="Times New Roman" w:eastAsia="Times New Roman" w:hAnsi="Times New Roman" w:cs="Times New Roman"/>
          <w:sz w:val="24"/>
          <w:szCs w:val="24"/>
        </w:rPr>
        <w:t xml:space="preserve"> signed rank test a statistically significant difference (p &lt; .001) was found between self-reported skill confidence before and after undergoing our simulation workshop. A statistically significant difference (p &lt; .001) was found between knowledge assessment scores before and after undergoing simulation training. The average score received on the skill checklist intended for assessing skill competence was 7.36 out of a possible 8 points. This suggests that most participants were competent in performing a cricothyrotomy after attending the simulation workshop. The above findings suggest that simulation supplemented with AR increases provider skill, knowledge, and confidence when performing a high-risk, low-frequency skill such as a cricothyrotomy. These findings align with similar studies, both Scott-Herring et al. (2020) and Wray et al. (2019) investigated the simulation education for cricothyrotomy. Scott-Herring et al. (2020) found that CRNA confidence in performing a successful cricothyrotomy in under two minutes was significantly increased after simulation training (p &lt; .001), while Wray et al. (2019) reported increased self-confidence in residents after simulation (p &lt; .014). </w:t>
      </w:r>
    </w:p>
    <w:p w14:paraId="62A3CDEF"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increase in skill-confidence arguably has the potential for the largest real-world effects. Due to the rarity of an actual cricothyrotomy, CRNAs are generally unconfident in their ability to perform the procedure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Previous studies have shown that more than </w:t>
      </w:r>
      <w:r>
        <w:rPr>
          <w:rFonts w:ascii="Times New Roman" w:eastAsia="Times New Roman" w:hAnsi="Times New Roman" w:cs="Times New Roman"/>
          <w:sz w:val="24"/>
          <w:szCs w:val="24"/>
        </w:rPr>
        <w:lastRenderedPageBreak/>
        <w:t>two-thirds of cricothyrotomies are performed too late to change outcomes in part due to performance delays (</w:t>
      </w: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et al., 2019). A study by Silverio et al. (2021) investigated the general perceptions of CRNAs and their ability to perform a cricothyrotomy. After interviewing study participants, the consensus was simulation that was intended to increase the provider’s confidence in performing a cricothyrotomy would lead to decreased performance delays. This was thought to be in part, due to the normalization of cricothyrotomy and the shift in perspective that performing a cricothyrotomy was not to be viewed as a failure but rather as successful management of the airway.</w:t>
      </w:r>
    </w:p>
    <w:p w14:paraId="41202443"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of this study showed a significant (p &lt; .001) increase in provider confidence after simulation training. When assessing the body of literature investigating provider confidence as it relates to performing a cricothyrotomy and closed claim analyses, the reoccurring theme is that a lack of confidence in performing a cricothyrotomy leads to an increase in morbidity and mortality. Logically, increasing provider confidence in this life-saving skill could lead to improved patient outcomes surrounding the CICV scenario.</w:t>
      </w:r>
    </w:p>
    <w:p w14:paraId="091C0166"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Confidence in performing a cricothyrotomy is clearly not the only factor that creates competence in a psychomotor skill. In addition to provider confidence, we found significant (p &lt; .001) increases in knowledge and high scores (Mean = 7.36 out of 8) on a skills checklist when performing a cricothyrotomy. The findings of this study suggest that simulation utilizing AR technology is an educational technique for improving a CRNA’s ability to safely perform a cricothyrotomy by increasing their confidence, knowledge, and skill pertaining to this potentially life-saving procedure.</w:t>
      </w:r>
    </w:p>
    <w:p w14:paraId="126E5E7B" w14:textId="77777777" w:rsidR="00D401A7" w:rsidRDefault="00D401A7">
      <w:pPr>
        <w:spacing w:line="480" w:lineRule="auto"/>
        <w:rPr>
          <w:rFonts w:ascii="Times New Roman" w:eastAsia="Times New Roman" w:hAnsi="Times New Roman" w:cs="Times New Roman"/>
          <w:b/>
          <w:sz w:val="24"/>
          <w:szCs w:val="24"/>
        </w:rPr>
      </w:pPr>
    </w:p>
    <w:p w14:paraId="2F2B3F8B" w14:textId="77777777" w:rsidR="00D401A7" w:rsidRDefault="00D401A7">
      <w:pPr>
        <w:spacing w:line="480" w:lineRule="auto"/>
        <w:rPr>
          <w:rFonts w:ascii="Times New Roman" w:eastAsia="Times New Roman" w:hAnsi="Times New Roman" w:cs="Times New Roman"/>
          <w:b/>
          <w:sz w:val="24"/>
          <w:szCs w:val="24"/>
        </w:rPr>
      </w:pPr>
    </w:p>
    <w:p w14:paraId="29318D71"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Barriers</w:t>
      </w:r>
    </w:p>
    <w:p w14:paraId="6D0BE8A3"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Potential barriers to the widespread implementation of simulation technology that incorporates AR for the purposes of high-risk, low-frequency skills include a general lack of literature on the subject and cost concerns. Due to the novelty of this technology, there were few research articles that tested simulation technology utilizing AR. Many of the articles, that did not meet our inclusion criteria, studied simulation and AR were written from a technical/engineering perspective. This suggests that this technology is generally not ready for implementation for the purposes of education except in a few specific applications such as the Lumis platform utilized in this study. The widespread application of simulation utilizing AR across many medical disciplines still requires advancement and refinement from a technological perspective.</w:t>
      </w:r>
    </w:p>
    <w:p w14:paraId="7CE8A514"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financial cost is another potential barrier to the implementation of novel simulation systems. New technologies such as the Lumis platform utilized in this study potentially cost more than or are an additional cost to existing simulation technologies such as standard simulation mannequins, cadavers, or animal models. Before the added cost of adopting these new technologies can be justified, further study is needed to demonstrate that simulation utilizing AR is superior to traditional simulation techniques. </w:t>
      </w:r>
    </w:p>
    <w:p w14:paraId="0411F7D1"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Unintended Consequences</w:t>
      </w:r>
    </w:p>
    <w:p w14:paraId="405CB0AB"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 xml:space="preserve">A potential negative unintended consequence of conducting this study is the possibility for providers who attended the simulation workshop to opt for a cricothyrotomy prior to working through the entire difficult airway algorithm. Due to time constraints related to the MANA conference, the entirety of the difficult airway algorithm was only briefly discussed.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time spent in the education sessions was committed to the final step of the difficult airway algorithm, the cricothyrotomy. Without reinforcing all the interventions that </w:t>
      </w:r>
      <w:r>
        <w:rPr>
          <w:rFonts w:ascii="Times New Roman" w:eastAsia="Times New Roman" w:hAnsi="Times New Roman" w:cs="Times New Roman"/>
          <w:sz w:val="24"/>
          <w:szCs w:val="24"/>
        </w:rPr>
        <w:lastRenderedPageBreak/>
        <w:t>should be attempted prior to opting for a surgical airway, it is possible that some providers left the educational sessions without fully grasping the entirety of the difficult airway algorithm and where the skill of cricothyrotomy fits within this decision tree. </w:t>
      </w:r>
    </w:p>
    <w:p w14:paraId="3EF25C40"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Recommendations and Limitations (Within Strategic Plan)</w:t>
      </w:r>
    </w:p>
    <w:p w14:paraId="72C9CBB4"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strategic plan to implement this workshop was not without limitations. First, the final session was partially interrupted by a lunch period, therefore many of those who had registered for this session did not attend. A recommendation can be made to schedule time slots away from a lunch break. Second, a relatively short time window was available for progressing through each module, while providing enough time for individual skill performance and debriefing. Extra time could not be taken to wait for those who arrived late to each session. Due to incomplete data packets provided by those who were late, these participants could not be included. A recommendation to provide a longer time window to complete each session could be made. Third, when it was time to perform individual cricothyrotomies, group members were able to watch. Those performing may have felt increasingly self-conscious of their actions and afraid of failure in front of peers, which may be detrimental to providing a comfortable learning environment. Periodically group members provided reminders to the performing individual, however, scores were calculated based on initial observation of an individual’s action by the co-principal investigator. Group members performing later in the educational offering had an advantage when performing the skill due to repetitive previous observations. Isolating individual participants would help to maintain the integrity of an individual's performance and enhance learner comfort. Due to time constraints, a pre-education skill check-off could not be completed prior to the post-education skill check-off. This left the investigators without comparative data. Providing time for this piece of information to be gathered would allow for the comparative data </w:t>
      </w:r>
      <w:r>
        <w:rPr>
          <w:rFonts w:ascii="Times New Roman" w:eastAsia="Times New Roman" w:hAnsi="Times New Roman" w:cs="Times New Roman"/>
          <w:sz w:val="24"/>
          <w:szCs w:val="24"/>
        </w:rPr>
        <w:lastRenderedPageBreak/>
        <w:t>to be analyzed for statistical significance. Finally, due to study design, a comparison of the effectiveness of simulation utilizing AR verses traditional techniques could not be made, as a result, superiority of either technique cannot be established.</w:t>
      </w:r>
    </w:p>
    <w:p w14:paraId="4298AB08"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Recommendation for Sustaining Intervention</w:t>
      </w:r>
    </w:p>
    <w:p w14:paraId="75E62872"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Determining the applicability of simulation utilizing AR in other settings or contexts requires further research. This project did reveal that this simulation modality may prove effective in the CRNA population and anesthesia settings, however, due to a limited and small sample population, the findings are not generalizable. Two questions must be answered before informed decisions regarding the adoption of this technology can be made. How effective is AR simulation at achieving educational goals compared to current simulation methods, and what is the financial cost of the </w:t>
      </w:r>
      <w:proofErr w:type="gramStart"/>
      <w:r>
        <w:rPr>
          <w:rFonts w:ascii="Times New Roman" w:eastAsia="Times New Roman" w:hAnsi="Times New Roman" w:cs="Times New Roman"/>
          <w:sz w:val="24"/>
          <w:szCs w:val="24"/>
        </w:rPr>
        <w:t>particular technology</w:t>
      </w:r>
      <w:proofErr w:type="gramEnd"/>
      <w:r>
        <w:rPr>
          <w:rFonts w:ascii="Times New Roman" w:eastAsia="Times New Roman" w:hAnsi="Times New Roman" w:cs="Times New Roman"/>
          <w:sz w:val="24"/>
          <w:szCs w:val="24"/>
        </w:rPr>
        <w:t xml:space="preserve"> to be implemented? </w:t>
      </w:r>
    </w:p>
    <w:p w14:paraId="19AA95C0"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stated previously, limitations of this study include the lack of comparison of simulation utilizing AR to traditional simulation techniques (simulation mannequin, animal models, cadavers). This study, in addition to the studies throughout the current literature, fails to establish the superiority of simulation supplemented with AR or traditional simulation techniques. This study was able to conclude that the Lumis platform is an effective method for teaching the skill of cricothyrotomy however, due to limitations in study design, the claim that the Lumis platform is more effective than traditional techniques cannot be made. Without understanding if AR is a more effective teaching method compared to other techniques, a cost-benefit analysis cannot be utilized to determine if adopting this technology will be worthwhile. Further research is warranted to determine if the Lumis platform is superior to previously utilized techniques to teach the skill of cricothyrotomy to justify the added cost. </w:t>
      </w:r>
    </w:p>
    <w:p w14:paraId="403FB5CD" w14:textId="77777777" w:rsidR="00D401A7" w:rsidRDefault="00D401A7">
      <w:pPr>
        <w:spacing w:line="480" w:lineRule="auto"/>
        <w:rPr>
          <w:rFonts w:ascii="Times New Roman" w:eastAsia="Times New Roman" w:hAnsi="Times New Roman" w:cs="Times New Roman"/>
          <w:b/>
          <w:sz w:val="24"/>
          <w:szCs w:val="24"/>
        </w:rPr>
      </w:pPr>
    </w:p>
    <w:p w14:paraId="672E4526"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Implications for Practice and Career Development</w:t>
      </w:r>
    </w:p>
    <w:p w14:paraId="751FAE2D" w14:textId="77777777" w:rsidR="00D401A7"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Management of a CICV scenario remains a core anesthesia competency, however technical and human factors, rooted in CRNA perceptions and skill proficiency, contribute to negative outcomes related to reestablishing an airway via cricothyrotomy (Silverio et al., 2021). Through this interactive simulation workshop, CRNAs improved their overall knowledge, and confidence, while demonstrating high proficiency in this critical skill. As proposed by Silverio et al. 2021, this and similar QI projects, can benefit the CRNA psyche and assist in normalizing this procedure within the profession. When a cricothyrotomy is deemed necessary,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CRNAs may appropriately and swiftly initiate rescue measures. By doing so, patient safety and outcomes will be improved through increased adherence to the difficult airway algorithm and decreased time delays for reestablishing ventilation and oxygenation in a failed airway. Additionally, this has the potential to improve independent provider practice by increasing one’s confidence to practice at the full scope of their abilities. This project revealed that novel AR technology can effectively augment traditional simulation with safe, realistic, and meaningful clinical scenarios. With more than 88% of future CRNAs indicating that simulation workshops should be an absolute requirement in their education, this project may provide insight and guidance into establishing effective methods for ongoing provider training to ensure CRNA competency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2021;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 </w:t>
      </w:r>
    </w:p>
    <w:p w14:paraId="5B69D95A"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Contribution of Project in Achieving DNP Essentials</w:t>
      </w:r>
    </w:p>
    <w:p w14:paraId="06C425D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project helped us achieve various DNP essentials. Essential I, scientific underpinnings for practice, was achieved throughout the literature review and implementation of this project. A prerequisite to teaching the skill of cricothyrotomy to CRNAs is a mastery of the skill and scientific underpinnings of its indications, contraindications, and psychomotor </w:t>
      </w:r>
      <w:r>
        <w:rPr>
          <w:rFonts w:ascii="Times New Roman" w:eastAsia="Times New Roman" w:hAnsi="Times New Roman" w:cs="Times New Roman"/>
          <w:sz w:val="24"/>
          <w:szCs w:val="24"/>
        </w:rPr>
        <w:lastRenderedPageBreak/>
        <w:t xml:space="preserve">techniques. Essential II, organizational and systems leadership for QI and systems thinking, was achieved by completing this project. This project required us to lead a QI </w:t>
      </w:r>
      <w:proofErr w:type="gramStart"/>
      <w:r>
        <w:rPr>
          <w:rFonts w:ascii="Times New Roman" w:eastAsia="Times New Roman" w:hAnsi="Times New Roman" w:cs="Times New Roman"/>
          <w:sz w:val="24"/>
          <w:szCs w:val="24"/>
        </w:rPr>
        <w:t>initiative, and</w:t>
      </w:r>
      <w:proofErr w:type="gramEnd"/>
      <w:r>
        <w:rPr>
          <w:rFonts w:ascii="Times New Roman" w:eastAsia="Times New Roman" w:hAnsi="Times New Roman" w:cs="Times New Roman"/>
          <w:sz w:val="24"/>
          <w:szCs w:val="24"/>
        </w:rPr>
        <w:t xml:space="preserve"> analyze the cost-effectiveness of interventions while accounting for risk and improvement of healthcare outcomes. DNP Essential III, clinical scholarship, and analytical methods of evidence-based practice was achieved through the completion of this project. An extensive literature review was required to identify the current state of knowledge regarding AR and simulation in the application of high-risk, low-frequency skills in anesthesia. This required us to critically appraise </w:t>
      </w:r>
      <w:proofErr w:type="gramStart"/>
      <w:r>
        <w:rPr>
          <w:rFonts w:ascii="Times New Roman" w:eastAsia="Times New Roman" w:hAnsi="Times New Roman" w:cs="Times New Roman"/>
          <w:sz w:val="24"/>
          <w:szCs w:val="24"/>
        </w:rPr>
        <w:t>literature, and</w:t>
      </w:r>
      <w:proofErr w:type="gramEnd"/>
      <w:r>
        <w:rPr>
          <w:rFonts w:ascii="Times New Roman" w:eastAsia="Times New Roman" w:hAnsi="Times New Roman" w:cs="Times New Roman"/>
          <w:sz w:val="24"/>
          <w:szCs w:val="24"/>
        </w:rPr>
        <w:t xml:space="preserve"> utilize information technology and research to generate evidence to support claims pertaining to our subject matter. Essential IV, information systems/technology and patient care technology for the improvement and transformation of health care, was achieved during the review of the literature. Throughout the literature review, information systems such as databases including PubMed, Embase, and Google Scholar were utilized for data extraction and to form conclusions and identify knowledge gaps regarding our area of study. Finally, DNP essential VIII, advanced nursing practice was achieved throughout this project. In conducting this study, we designed, implemented, and evaluated an educational program with the potential for improved clinical outcomes. Additionally, we guided, educated, and supported CRNAs in improving their skill proficiency, knowledge, and confidence pertaining to cricothyrotomy.</w:t>
      </w:r>
    </w:p>
    <w:p w14:paraId="2DEC8246" w14:textId="77777777" w:rsidR="00D401A7" w:rsidRDefault="00D401A7">
      <w:pPr>
        <w:spacing w:line="480" w:lineRule="auto"/>
        <w:ind w:firstLine="720"/>
        <w:rPr>
          <w:rFonts w:ascii="Times New Roman" w:eastAsia="Times New Roman" w:hAnsi="Times New Roman" w:cs="Times New Roman"/>
          <w:sz w:val="24"/>
          <w:szCs w:val="24"/>
        </w:rPr>
      </w:pPr>
    </w:p>
    <w:p w14:paraId="654E70BF" w14:textId="5DB4A44D" w:rsidR="00D401A7" w:rsidRDefault="00D401A7">
      <w:pPr>
        <w:spacing w:line="480" w:lineRule="auto"/>
        <w:ind w:firstLine="720"/>
        <w:rPr>
          <w:rFonts w:ascii="Times New Roman" w:eastAsia="Times New Roman" w:hAnsi="Times New Roman" w:cs="Times New Roman"/>
          <w:sz w:val="24"/>
          <w:szCs w:val="24"/>
        </w:rPr>
      </w:pPr>
    </w:p>
    <w:p w14:paraId="76100CCA" w14:textId="60C79405" w:rsidR="00FC4600" w:rsidRDefault="00FC4600">
      <w:pPr>
        <w:spacing w:line="480" w:lineRule="auto"/>
        <w:ind w:firstLine="720"/>
        <w:rPr>
          <w:rFonts w:ascii="Times New Roman" w:eastAsia="Times New Roman" w:hAnsi="Times New Roman" w:cs="Times New Roman"/>
          <w:sz w:val="24"/>
          <w:szCs w:val="24"/>
        </w:rPr>
      </w:pPr>
    </w:p>
    <w:p w14:paraId="638680B8" w14:textId="3A050B2E" w:rsidR="00FC4600" w:rsidRDefault="00FC4600">
      <w:pPr>
        <w:spacing w:line="480" w:lineRule="auto"/>
        <w:ind w:firstLine="720"/>
        <w:rPr>
          <w:rFonts w:ascii="Times New Roman" w:eastAsia="Times New Roman" w:hAnsi="Times New Roman" w:cs="Times New Roman"/>
          <w:sz w:val="24"/>
          <w:szCs w:val="24"/>
        </w:rPr>
      </w:pPr>
    </w:p>
    <w:p w14:paraId="6E8AB29C" w14:textId="59F2EEC6" w:rsidR="00FC4600" w:rsidRDefault="00FC4600">
      <w:pPr>
        <w:spacing w:line="480" w:lineRule="auto"/>
        <w:ind w:firstLine="720"/>
        <w:rPr>
          <w:rFonts w:ascii="Times New Roman" w:eastAsia="Times New Roman" w:hAnsi="Times New Roman" w:cs="Times New Roman"/>
          <w:sz w:val="24"/>
          <w:szCs w:val="24"/>
        </w:rPr>
      </w:pPr>
    </w:p>
    <w:p w14:paraId="785E8CE2" w14:textId="77777777" w:rsidR="00D401A7" w:rsidRDefault="00D401A7" w:rsidP="00FC4600">
      <w:pPr>
        <w:spacing w:line="480" w:lineRule="auto"/>
        <w:rPr>
          <w:rFonts w:ascii="Times New Roman" w:eastAsia="Times New Roman" w:hAnsi="Times New Roman" w:cs="Times New Roman"/>
          <w:sz w:val="24"/>
          <w:szCs w:val="24"/>
        </w:rPr>
      </w:pPr>
    </w:p>
    <w:p w14:paraId="5E4FB07D"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References</w:t>
      </w:r>
    </w:p>
    <w:p w14:paraId="323284F3"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Aebersold</w:t>
      </w:r>
      <w:proofErr w:type="spellEnd"/>
      <w:r>
        <w:rPr>
          <w:rFonts w:ascii="Times New Roman" w:eastAsia="Times New Roman" w:hAnsi="Times New Roman" w:cs="Times New Roman"/>
          <w:sz w:val="24"/>
          <w:szCs w:val="24"/>
        </w:rPr>
        <w:t xml:space="preserve">, M., Voepel-Lewis, T., </w:t>
      </w:r>
      <w:proofErr w:type="spellStart"/>
      <w:r>
        <w:rPr>
          <w:rFonts w:ascii="Times New Roman" w:eastAsia="Times New Roman" w:hAnsi="Times New Roman" w:cs="Times New Roman"/>
          <w:sz w:val="24"/>
          <w:szCs w:val="24"/>
        </w:rPr>
        <w:t>Cherara</w:t>
      </w:r>
      <w:proofErr w:type="spellEnd"/>
      <w:r>
        <w:rPr>
          <w:rFonts w:ascii="Times New Roman" w:eastAsia="Times New Roman" w:hAnsi="Times New Roman" w:cs="Times New Roman"/>
          <w:sz w:val="24"/>
          <w:szCs w:val="24"/>
        </w:rPr>
        <w:t xml:space="preserve">, L., Weber, M., Khouri, C., Levine, R., &amp; Tait, A. R. </w:t>
      </w:r>
    </w:p>
    <w:p w14:paraId="57233A70" w14:textId="77777777" w:rsidR="00D401A7"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(2018). Interactive anatomy-augmented virtual simulation training. </w:t>
      </w:r>
      <w:r>
        <w:rPr>
          <w:rFonts w:ascii="Times New Roman" w:eastAsia="Times New Roman" w:hAnsi="Times New Roman" w:cs="Times New Roman"/>
          <w:i/>
          <w:sz w:val="24"/>
          <w:szCs w:val="24"/>
        </w:rPr>
        <w:t>Clinical Simulation in</w:t>
      </w:r>
    </w:p>
    <w:p w14:paraId="7D85C48F"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Nursing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 xml:space="preserve">, 34–41. </w:t>
      </w:r>
      <w:hyperlink r:id="rId8">
        <w:r>
          <w:rPr>
            <w:rFonts w:ascii="Times New Roman" w:eastAsia="Times New Roman" w:hAnsi="Times New Roman" w:cs="Times New Roman"/>
            <w:sz w:val="24"/>
            <w:szCs w:val="24"/>
          </w:rPr>
          <w:t>https://doi.org/10.1016/j.ecns.2017.09.008</w:t>
        </w:r>
      </w:hyperlink>
    </w:p>
    <w:p w14:paraId="0FD2950B"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 G., Rankin, A., Baxter, J. S., Moore, J., Ganapathy, S., Peters, T. M., &amp; Chen, E. C. </w:t>
      </w:r>
    </w:p>
    <w:p w14:paraId="1CAC7A79"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(2019). Development and evaluation of an augmented reality ultrasound guidance system </w:t>
      </w:r>
    </w:p>
    <w:p w14:paraId="1FE345A2"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spinal anesthesia: Preliminary results. </w:t>
      </w:r>
      <w:r>
        <w:rPr>
          <w:rFonts w:ascii="Times New Roman" w:eastAsia="Times New Roman" w:hAnsi="Times New Roman" w:cs="Times New Roman"/>
          <w:i/>
          <w:sz w:val="24"/>
          <w:szCs w:val="24"/>
        </w:rPr>
        <w:t>Ultrasound in Medicine &amp; Biology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45</w:t>
      </w:r>
      <w:r>
        <w:rPr>
          <w:rFonts w:ascii="Times New Roman" w:eastAsia="Times New Roman" w:hAnsi="Times New Roman" w:cs="Times New Roman"/>
          <w:sz w:val="24"/>
          <w:szCs w:val="24"/>
        </w:rPr>
        <w:t xml:space="preserve">(10), </w:t>
      </w:r>
    </w:p>
    <w:p w14:paraId="6CF30AE0"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2736–2746. </w:t>
      </w:r>
      <w:hyperlink r:id="rId9">
        <w:r>
          <w:rPr>
            <w:rFonts w:ascii="Times New Roman" w:eastAsia="Times New Roman" w:hAnsi="Times New Roman" w:cs="Times New Roman"/>
            <w:sz w:val="24"/>
            <w:szCs w:val="24"/>
          </w:rPr>
          <w:t>https://doi.org/10.1016/j.ultrasmedbio.2019.04.026</w:t>
        </w:r>
      </w:hyperlink>
    </w:p>
    <w:p w14:paraId="42F527F7"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S., Borges, B., Naik, V., Siu, L., </w:t>
      </w:r>
      <w:proofErr w:type="spellStart"/>
      <w:r>
        <w:rPr>
          <w:rFonts w:ascii="Times New Roman" w:eastAsia="Times New Roman" w:hAnsi="Times New Roman" w:cs="Times New Roman"/>
          <w:sz w:val="24"/>
          <w:szCs w:val="24"/>
        </w:rPr>
        <w:t>Riem</w:t>
      </w:r>
      <w:proofErr w:type="spellEnd"/>
      <w:r>
        <w:rPr>
          <w:rFonts w:ascii="Times New Roman" w:eastAsia="Times New Roman" w:hAnsi="Times New Roman" w:cs="Times New Roman"/>
          <w:sz w:val="24"/>
          <w:szCs w:val="24"/>
        </w:rPr>
        <w:t xml:space="preserve">, N., Chandra, D., </w:t>
      </w:r>
      <w:proofErr w:type="spellStart"/>
      <w:r>
        <w:rPr>
          <w:rFonts w:ascii="Times New Roman" w:eastAsia="Times New Roman" w:hAnsi="Times New Roman" w:cs="Times New Roman"/>
          <w:sz w:val="24"/>
          <w:szCs w:val="24"/>
        </w:rPr>
        <w:t>Bould</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Joo</w:t>
      </w:r>
      <w:proofErr w:type="spellEnd"/>
      <w:r>
        <w:rPr>
          <w:rFonts w:ascii="Times New Roman" w:eastAsia="Times New Roman" w:hAnsi="Times New Roman" w:cs="Times New Roman"/>
          <w:sz w:val="24"/>
          <w:szCs w:val="24"/>
        </w:rPr>
        <w:t xml:space="preserve">, H. (2011). </w:t>
      </w:r>
    </w:p>
    <w:p w14:paraId="520AFA7B"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Complex procedural skills are retained for a minimum of 1 </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xml:space="preserve"> after a single high-fidelity </w:t>
      </w:r>
    </w:p>
    <w:p w14:paraId="0A383307"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simulation training session †. </w:t>
      </w:r>
      <w:r>
        <w:rPr>
          <w:rFonts w:ascii="Times New Roman" w:eastAsia="Times New Roman" w:hAnsi="Times New Roman" w:cs="Times New Roman"/>
          <w:i/>
          <w:sz w:val="24"/>
          <w:szCs w:val="24"/>
        </w:rPr>
        <w:t xml:space="preserve">British Journal of </w:t>
      </w:r>
      <w:proofErr w:type="spellStart"/>
      <w:r>
        <w:rPr>
          <w:rFonts w:ascii="Times New Roman" w:eastAsia="Times New Roman" w:hAnsi="Times New Roman" w:cs="Times New Roman"/>
          <w:i/>
          <w:sz w:val="24"/>
          <w:szCs w:val="24"/>
        </w:rPr>
        <w:t>Anaesthesia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107</w:t>
      </w:r>
      <w:r>
        <w:rPr>
          <w:rFonts w:ascii="Times New Roman" w:eastAsia="Times New Roman" w:hAnsi="Times New Roman" w:cs="Times New Roman"/>
          <w:sz w:val="24"/>
          <w:szCs w:val="24"/>
        </w:rPr>
        <w:t xml:space="preserve">(4), 533–539. </w:t>
      </w:r>
    </w:p>
    <w:p w14:paraId="290A4E10" w14:textId="77777777" w:rsidR="00D401A7" w:rsidRDefault="00000000">
      <w:pPr>
        <w:spacing w:line="480" w:lineRule="auto"/>
        <w:ind w:firstLine="720"/>
        <w:rPr>
          <w:rFonts w:ascii="Times New Roman" w:eastAsia="Times New Roman" w:hAnsi="Times New Roman" w:cs="Times New Roman"/>
          <w:b/>
          <w:sz w:val="24"/>
          <w:szCs w:val="24"/>
        </w:rPr>
      </w:pPr>
      <w:hyperlink r:id="rId10">
        <w:r>
          <w:rPr>
            <w:rFonts w:ascii="Times New Roman" w:eastAsia="Times New Roman" w:hAnsi="Times New Roman" w:cs="Times New Roman"/>
            <w:sz w:val="24"/>
            <w:szCs w:val="24"/>
          </w:rPr>
          <w:t>https://doi.org/10.1093/bja/aer160</w:t>
        </w:r>
      </w:hyperlink>
    </w:p>
    <w:p w14:paraId="0B619056"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Bortman</w:t>
      </w:r>
      <w:proofErr w:type="spellEnd"/>
      <w:r>
        <w:rPr>
          <w:rFonts w:ascii="Times New Roman" w:eastAsia="Times New Roman" w:hAnsi="Times New Roman" w:cs="Times New Roman"/>
          <w:sz w:val="24"/>
          <w:szCs w:val="24"/>
        </w:rPr>
        <w:t xml:space="preserve">, J., Mahmood, F., Mitchell, J., Feng, R., </w:t>
      </w:r>
      <w:proofErr w:type="spellStart"/>
      <w:r>
        <w:rPr>
          <w:rFonts w:ascii="Times New Roman" w:eastAsia="Times New Roman" w:hAnsi="Times New Roman" w:cs="Times New Roman"/>
          <w:sz w:val="24"/>
          <w:szCs w:val="24"/>
        </w:rPr>
        <w:t>Baribeau</w:t>
      </w:r>
      <w:proofErr w:type="spellEnd"/>
      <w:r>
        <w:rPr>
          <w:rFonts w:ascii="Times New Roman" w:eastAsia="Times New Roman" w:hAnsi="Times New Roman" w:cs="Times New Roman"/>
          <w:sz w:val="24"/>
          <w:szCs w:val="24"/>
        </w:rPr>
        <w:t>, Y., Wong, V., Coolidge, B., Bose,</w:t>
      </w:r>
    </w:p>
    <w:p w14:paraId="38EAE28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Gao, Z., Jones, S., &amp; </w:t>
      </w:r>
      <w:proofErr w:type="spellStart"/>
      <w:r>
        <w:rPr>
          <w:rFonts w:ascii="Times New Roman" w:eastAsia="Times New Roman" w:hAnsi="Times New Roman" w:cs="Times New Roman"/>
          <w:sz w:val="24"/>
          <w:szCs w:val="24"/>
        </w:rPr>
        <w:t>Matyal</w:t>
      </w:r>
      <w:proofErr w:type="spellEnd"/>
      <w:r>
        <w:rPr>
          <w:rFonts w:ascii="Times New Roman" w:eastAsia="Times New Roman" w:hAnsi="Times New Roman" w:cs="Times New Roman"/>
          <w:sz w:val="24"/>
          <w:szCs w:val="24"/>
        </w:rPr>
        <w:t xml:space="preserve">, R. (2019). Ultrasound-guided Intravenous Line </w:t>
      </w:r>
    </w:p>
    <w:p w14:paraId="2600F9C2"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Placement Course for Certified Registered Nurse Anesthetists: A Necessary Next Step. </w:t>
      </w:r>
    </w:p>
    <w:p w14:paraId="0E7A617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AANA journal, 87(4), 269–275.</w:t>
      </w:r>
    </w:p>
    <w:p w14:paraId="07F9F1D8"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Briggs, C. V., Smith-Steinert, R., &amp; </w:t>
      </w:r>
      <w:proofErr w:type="spellStart"/>
      <w:r>
        <w:rPr>
          <w:rFonts w:ascii="Times New Roman" w:eastAsia="Times New Roman" w:hAnsi="Times New Roman" w:cs="Times New Roman"/>
          <w:sz w:val="24"/>
          <w:szCs w:val="24"/>
        </w:rPr>
        <w:t>Bakis</w:t>
      </w:r>
      <w:proofErr w:type="spellEnd"/>
      <w:r>
        <w:rPr>
          <w:rFonts w:ascii="Times New Roman" w:eastAsia="Times New Roman" w:hAnsi="Times New Roman" w:cs="Times New Roman"/>
          <w:sz w:val="24"/>
          <w:szCs w:val="24"/>
        </w:rPr>
        <w:t xml:space="preserve">, M. (2021). Continuing education for the certified </w:t>
      </w:r>
    </w:p>
    <w:p w14:paraId="1ABF9641" w14:textId="77777777" w:rsidR="00D401A7" w:rsidRDefault="00000000">
      <w:pPr>
        <w:spacing w:line="523"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registered nurse anesthetist: Ultrasound-guided peripheral intravenous access. </w:t>
      </w:r>
      <w:r>
        <w:rPr>
          <w:rFonts w:ascii="Times New Roman" w:eastAsia="Times New Roman" w:hAnsi="Times New Roman" w:cs="Times New Roman"/>
          <w:i/>
          <w:sz w:val="24"/>
          <w:szCs w:val="24"/>
        </w:rPr>
        <w:t xml:space="preserve">The </w:t>
      </w:r>
    </w:p>
    <w:p w14:paraId="42F40A96"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Journal of Continuing Education in Nursing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(10), 489–492.</w:t>
      </w:r>
    </w:p>
    <w:p w14:paraId="27470791"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sz w:val="24"/>
            <w:szCs w:val="24"/>
          </w:rPr>
          <w:t>https://doi.org/10.3928/00220124-20210913-09</w:t>
        </w:r>
      </w:hyperlink>
    </w:p>
    <w:p w14:paraId="6AFA0ECE" w14:textId="77777777" w:rsidR="00D401A7" w:rsidRDefault="00000000">
      <w:pPr>
        <w:spacing w:line="523"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Kandrack</w:t>
      </w:r>
      <w:proofErr w:type="spellEnd"/>
      <w:r>
        <w:rPr>
          <w:rFonts w:ascii="Times New Roman" w:eastAsia="Times New Roman" w:hAnsi="Times New Roman" w:cs="Times New Roman"/>
          <w:sz w:val="24"/>
          <w:szCs w:val="24"/>
        </w:rPr>
        <w:t>, M., Oermann, M. H., Dangerfield, C., &amp; Simmons (</w:t>
      </w:r>
      <w:proofErr w:type="spellStart"/>
      <w:r>
        <w:rPr>
          <w:rFonts w:ascii="Times New Roman" w:eastAsia="Times New Roman" w:hAnsi="Times New Roman" w:cs="Times New Roman"/>
          <w:sz w:val="24"/>
          <w:szCs w:val="24"/>
        </w:rPr>
        <w:t>Muckler</w:t>
      </w:r>
      <w:proofErr w:type="spellEnd"/>
      <w:r>
        <w:rPr>
          <w:rFonts w:ascii="Times New Roman" w:eastAsia="Times New Roman" w:hAnsi="Times New Roman" w:cs="Times New Roman"/>
          <w:sz w:val="24"/>
          <w:szCs w:val="24"/>
        </w:rPr>
        <w:t xml:space="preserve">), V. C. </w:t>
      </w:r>
    </w:p>
    <w:p w14:paraId="1616D978" w14:textId="77777777" w:rsidR="00D401A7" w:rsidRDefault="00000000">
      <w:pPr>
        <w:spacing w:line="523"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(2021). Virtual simulation to reinforce nursing staff resuscitation responses. </w:t>
      </w:r>
      <w:r>
        <w:rPr>
          <w:rFonts w:ascii="Times New Roman" w:eastAsia="Times New Roman" w:hAnsi="Times New Roman" w:cs="Times New Roman"/>
          <w:i/>
          <w:sz w:val="24"/>
          <w:szCs w:val="24"/>
        </w:rPr>
        <w:t xml:space="preserve">Journal for </w:t>
      </w:r>
    </w:p>
    <w:p w14:paraId="05A181FA"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Nurses in Professional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Publish Ahead of Print</w:t>
      </w:r>
      <w:r>
        <w:rPr>
          <w:rFonts w:ascii="Times New Roman" w:eastAsia="Times New Roman" w:hAnsi="Times New Roman" w:cs="Times New Roman"/>
          <w:sz w:val="24"/>
          <w:szCs w:val="24"/>
        </w:rPr>
        <w:t xml:space="preserve">. </w:t>
      </w:r>
    </w:p>
    <w:p w14:paraId="2003FBD6" w14:textId="77777777" w:rsidR="00D401A7" w:rsidRDefault="00000000">
      <w:pPr>
        <w:spacing w:line="523" w:lineRule="auto"/>
        <w:ind w:firstLine="720"/>
        <w:rPr>
          <w:rFonts w:ascii="Times New Roman" w:eastAsia="Times New Roman" w:hAnsi="Times New Roman" w:cs="Times New Roman"/>
          <w:sz w:val="24"/>
          <w:szCs w:val="24"/>
        </w:rPr>
      </w:pPr>
      <w:hyperlink r:id="rId12">
        <w:r>
          <w:rPr>
            <w:rFonts w:ascii="Times New Roman" w:eastAsia="Times New Roman" w:hAnsi="Times New Roman" w:cs="Times New Roman"/>
            <w:sz w:val="24"/>
            <w:szCs w:val="24"/>
          </w:rPr>
          <w:t>https://doi.org/10.1097/nnd.0000000000000764</w:t>
        </w:r>
      </w:hyperlink>
    </w:p>
    <w:p w14:paraId="53E0F411"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C. M., Morgan, B. T., Schmitt, D., Harman, R. J., &amp; Goode, V. (2021). Improving </w:t>
      </w:r>
    </w:p>
    <w:p w14:paraId="78001A45"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emergency cricothyroidotomies. </w:t>
      </w:r>
      <w:r>
        <w:rPr>
          <w:rFonts w:ascii="Times New Roman" w:eastAsia="Times New Roman" w:hAnsi="Times New Roman" w:cs="Times New Roman"/>
          <w:i/>
          <w:sz w:val="24"/>
          <w:szCs w:val="24"/>
        </w:rPr>
        <w:t>Critical Care Nursing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 xml:space="preserve">(2), 203–213. </w:t>
      </w:r>
    </w:p>
    <w:p w14:paraId="36FCD110" w14:textId="77777777" w:rsidR="00D401A7" w:rsidRDefault="00000000">
      <w:pPr>
        <w:spacing w:line="523" w:lineRule="auto"/>
        <w:ind w:firstLine="720"/>
        <w:rPr>
          <w:rFonts w:ascii="Times New Roman" w:eastAsia="Times New Roman" w:hAnsi="Times New Roman" w:cs="Times New Roman"/>
          <w:sz w:val="24"/>
          <w:szCs w:val="24"/>
        </w:rPr>
      </w:pPr>
      <w:hyperlink r:id="rId13">
        <w:r>
          <w:rPr>
            <w:rFonts w:ascii="Times New Roman" w:eastAsia="Times New Roman" w:hAnsi="Times New Roman" w:cs="Times New Roman"/>
            <w:sz w:val="24"/>
            <w:szCs w:val="24"/>
          </w:rPr>
          <w:t>https://doi.org/10.1097/cnq.0000000000000354</w:t>
        </w:r>
      </w:hyperlink>
    </w:p>
    <w:p w14:paraId="1BED205E"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 T., Woodall, N., &amp; </w:t>
      </w:r>
      <w:proofErr w:type="spellStart"/>
      <w:r>
        <w:rPr>
          <w:rFonts w:ascii="Times New Roman" w:eastAsia="Times New Roman" w:hAnsi="Times New Roman" w:cs="Times New Roman"/>
          <w:sz w:val="24"/>
          <w:szCs w:val="24"/>
        </w:rPr>
        <w:t>Frerk</w:t>
      </w:r>
      <w:proofErr w:type="spellEnd"/>
      <w:r>
        <w:rPr>
          <w:rFonts w:ascii="Times New Roman" w:eastAsia="Times New Roman" w:hAnsi="Times New Roman" w:cs="Times New Roman"/>
          <w:sz w:val="24"/>
          <w:szCs w:val="24"/>
        </w:rPr>
        <w:t xml:space="preserve">, C. (2011). Major complications of airway management in the </w:t>
      </w:r>
    </w:p>
    <w:p w14:paraId="72FF698C" w14:textId="77777777" w:rsidR="00D401A7" w:rsidRDefault="00000000">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uk</w:t>
      </w:r>
      <w:proofErr w:type="spellEnd"/>
      <w:r>
        <w:rPr>
          <w:rFonts w:ascii="Times New Roman" w:eastAsia="Times New Roman" w:hAnsi="Times New Roman" w:cs="Times New Roman"/>
          <w:sz w:val="24"/>
          <w:szCs w:val="24"/>
        </w:rPr>
        <w:t xml:space="preserve">: Results of the fourth national audit project of the royal college of </w:t>
      </w:r>
      <w:proofErr w:type="spellStart"/>
      <w:r>
        <w:rPr>
          <w:rFonts w:ascii="Times New Roman" w:eastAsia="Times New Roman" w:hAnsi="Times New Roman" w:cs="Times New Roman"/>
          <w:sz w:val="24"/>
          <w:szCs w:val="24"/>
        </w:rPr>
        <w:t>anaesthetists</w:t>
      </w:r>
      <w:proofErr w:type="spellEnd"/>
      <w:r>
        <w:rPr>
          <w:rFonts w:ascii="Times New Roman" w:eastAsia="Times New Roman" w:hAnsi="Times New Roman" w:cs="Times New Roman"/>
          <w:sz w:val="24"/>
          <w:szCs w:val="24"/>
        </w:rPr>
        <w:t xml:space="preserve"> and </w:t>
      </w:r>
    </w:p>
    <w:p w14:paraId="4B8110ED"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difficult airway society. part 1: </w:t>
      </w:r>
      <w:proofErr w:type="spellStart"/>
      <w:r>
        <w:rPr>
          <w:rFonts w:ascii="Times New Roman" w:eastAsia="Times New Roman" w:hAnsi="Times New Roman" w:cs="Times New Roman"/>
          <w:sz w:val="24"/>
          <w:szCs w:val="24"/>
        </w:rPr>
        <w:t>Anaesthesia</w:t>
      </w:r>
      <w:proofErr w:type="spellEnd"/>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 xml:space="preserve">British Journal of </w:t>
      </w:r>
      <w:proofErr w:type="spellStart"/>
      <w:r>
        <w:rPr>
          <w:rFonts w:ascii="Times New Roman" w:eastAsia="Times New Roman" w:hAnsi="Times New Roman" w:cs="Times New Roman"/>
          <w:i/>
          <w:sz w:val="24"/>
          <w:szCs w:val="24"/>
        </w:rPr>
        <w:t>Anaesthesia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106</w:t>
      </w:r>
      <w:r>
        <w:rPr>
          <w:rFonts w:ascii="Times New Roman" w:eastAsia="Times New Roman" w:hAnsi="Times New Roman" w:cs="Times New Roman"/>
          <w:sz w:val="24"/>
          <w:szCs w:val="24"/>
        </w:rPr>
        <w:t xml:space="preserve">(5), </w:t>
      </w:r>
    </w:p>
    <w:p w14:paraId="317331AF"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617–631. </w:t>
      </w:r>
      <w:hyperlink r:id="rId14">
        <w:r>
          <w:rPr>
            <w:rFonts w:ascii="Times New Roman" w:eastAsia="Times New Roman" w:hAnsi="Times New Roman" w:cs="Times New Roman"/>
            <w:sz w:val="24"/>
            <w:szCs w:val="24"/>
          </w:rPr>
          <w:t>https://doi.org/10.1093/bja/aer058</w:t>
        </w:r>
      </w:hyperlink>
      <w:r>
        <w:t xml:space="preserve">     </w:t>
      </w:r>
    </w:p>
    <w:p w14:paraId="2B45DB65"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L. R., Bartlett, A., &amp; Perez, A. (2019). High-Fidelity Mannequin Simulation versus </w:t>
      </w:r>
    </w:p>
    <w:p w14:paraId="31FE7CD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Virtual Simulation for Recognition of Critical Events by Student Registered Nurse </w:t>
      </w:r>
    </w:p>
    <w:p w14:paraId="0B084B6E"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Anesthetists. AANA journal, 87(2), 105–109.</w:t>
      </w:r>
    </w:p>
    <w:p w14:paraId="58427015"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Gabbard, K. L., &amp; Smith-Steinert, R. M. (2021). Advanced cardiac life support simulation for </w:t>
      </w:r>
    </w:p>
    <w:p w14:paraId="07D2CD85"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nurse anesthetists and student nurse anesthetists. </w:t>
      </w:r>
      <w:r>
        <w:rPr>
          <w:rFonts w:ascii="Times New Roman" w:eastAsia="Times New Roman" w:hAnsi="Times New Roman" w:cs="Times New Roman"/>
          <w:i/>
          <w:sz w:val="24"/>
          <w:szCs w:val="24"/>
        </w:rPr>
        <w:t>Clinical Simulation in Nursing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50</w:t>
      </w:r>
      <w:r>
        <w:rPr>
          <w:rFonts w:ascii="Times New Roman" w:eastAsia="Times New Roman" w:hAnsi="Times New Roman" w:cs="Times New Roman"/>
          <w:sz w:val="24"/>
          <w:szCs w:val="24"/>
        </w:rPr>
        <w:t xml:space="preserve">, </w:t>
      </w:r>
    </w:p>
    <w:p w14:paraId="3D230C68"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65–73. </w:t>
      </w:r>
      <w:hyperlink r:id="rId15">
        <w:r>
          <w:rPr>
            <w:rFonts w:ascii="Times New Roman" w:eastAsia="Times New Roman" w:hAnsi="Times New Roman" w:cs="Times New Roman"/>
            <w:sz w:val="24"/>
            <w:szCs w:val="24"/>
          </w:rPr>
          <w:t>https://doi.org/10.1016/j.ecns.2020.06.006</w:t>
        </w:r>
      </w:hyperlink>
    </w:p>
    <w:p w14:paraId="049FC841" w14:textId="77777777" w:rsidR="00D401A7" w:rsidRDefault="00000000">
      <w:pPr>
        <w:spacing w:line="523"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Gerup</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Soerensen</w:t>
      </w:r>
      <w:proofErr w:type="spellEnd"/>
      <w:r>
        <w:rPr>
          <w:rFonts w:ascii="Times New Roman" w:eastAsia="Times New Roman" w:hAnsi="Times New Roman" w:cs="Times New Roman"/>
          <w:sz w:val="24"/>
          <w:szCs w:val="24"/>
        </w:rPr>
        <w:t xml:space="preserve">, C. B., &amp; </w:t>
      </w:r>
      <w:proofErr w:type="spellStart"/>
      <w:r>
        <w:rPr>
          <w:rFonts w:ascii="Times New Roman" w:eastAsia="Times New Roman" w:hAnsi="Times New Roman" w:cs="Times New Roman"/>
          <w:sz w:val="24"/>
          <w:szCs w:val="24"/>
        </w:rPr>
        <w:t>Dieckmann</w:t>
      </w:r>
      <w:proofErr w:type="spellEnd"/>
      <w:r>
        <w:rPr>
          <w:rFonts w:ascii="Times New Roman" w:eastAsia="Times New Roman" w:hAnsi="Times New Roman" w:cs="Times New Roman"/>
          <w:sz w:val="24"/>
          <w:szCs w:val="24"/>
        </w:rPr>
        <w:t xml:space="preserve">, P. (2020). Augmented reality and mixed reality for </w:t>
      </w:r>
    </w:p>
    <w:p w14:paraId="00D20A42" w14:textId="77777777" w:rsidR="00D401A7" w:rsidRDefault="00000000">
      <w:pPr>
        <w:spacing w:line="523"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healthcare education beyond surgery: An integrative review. </w:t>
      </w:r>
      <w:r>
        <w:rPr>
          <w:rFonts w:ascii="Times New Roman" w:eastAsia="Times New Roman" w:hAnsi="Times New Roman" w:cs="Times New Roman"/>
          <w:i/>
          <w:sz w:val="24"/>
          <w:szCs w:val="24"/>
        </w:rPr>
        <w:t xml:space="preserve">International Journal of </w:t>
      </w:r>
    </w:p>
    <w:p w14:paraId="14E032A3"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Medical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 xml:space="preserve">, 1–18. </w:t>
      </w:r>
      <w:hyperlink r:id="rId16">
        <w:r>
          <w:rPr>
            <w:rFonts w:ascii="Times New Roman" w:eastAsia="Times New Roman" w:hAnsi="Times New Roman" w:cs="Times New Roman"/>
            <w:sz w:val="24"/>
            <w:szCs w:val="24"/>
          </w:rPr>
          <w:t>https://doi.org/10.5116/ijme.5e01.eb1a</w:t>
        </w:r>
      </w:hyperlink>
    </w:p>
    <w:p w14:paraId="78035494"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Hauglum</w:t>
      </w:r>
      <w:proofErr w:type="spellEnd"/>
      <w:r>
        <w:rPr>
          <w:rFonts w:ascii="Times New Roman" w:eastAsia="Times New Roman" w:hAnsi="Times New Roman" w:cs="Times New Roman"/>
          <w:sz w:val="24"/>
          <w:szCs w:val="24"/>
        </w:rPr>
        <w:t xml:space="preserve">, S. D., Vera, C., Alves, S. L., &amp; Tran, C. (2020). Use of Computer-Assisted Instrument </w:t>
      </w:r>
    </w:p>
    <w:p w14:paraId="32D0B467"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Guidance Technology by Student Registered Nurse Anesthetists for Simulated Invasive </w:t>
      </w:r>
    </w:p>
    <w:p w14:paraId="0BA5B49A"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Procedures. AANA journal, 88(4), 289–298.</w:t>
      </w:r>
    </w:p>
    <w:p w14:paraId="6F0E41F9"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Hauze</w:t>
      </w:r>
      <w:proofErr w:type="spellEnd"/>
      <w:r>
        <w:rPr>
          <w:rFonts w:ascii="Times New Roman" w:eastAsia="Times New Roman" w:hAnsi="Times New Roman" w:cs="Times New Roman"/>
          <w:sz w:val="24"/>
          <w:szCs w:val="24"/>
        </w:rPr>
        <w:t xml:space="preserve">, S. W., Hoyt, H. H., Frazee, J. P., Greiner, P. A., &amp; Marshall, J. M. (2019). Enhancing </w:t>
      </w:r>
    </w:p>
    <w:p w14:paraId="1105D8FB"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nursing education through affordable and realistic holographic mixed reality: The virtual</w:t>
      </w:r>
    </w:p>
    <w:p w14:paraId="2861E1D6"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standardized patient for clinical simulation. In P. M. Rea (Ed.), </w:t>
      </w:r>
      <w:r>
        <w:rPr>
          <w:rFonts w:ascii="Times New Roman" w:eastAsia="Times New Roman" w:hAnsi="Times New Roman" w:cs="Times New Roman"/>
          <w:i/>
          <w:sz w:val="24"/>
          <w:szCs w:val="24"/>
        </w:rPr>
        <w:t xml:space="preserve">Biomedical </w:t>
      </w:r>
      <w:proofErr w:type="spellStart"/>
      <w:r>
        <w:rPr>
          <w:rFonts w:ascii="Times New Roman" w:eastAsia="Times New Roman" w:hAnsi="Times New Roman" w:cs="Times New Roman"/>
          <w:i/>
          <w:sz w:val="24"/>
          <w:szCs w:val="24"/>
        </w:rPr>
        <w:t>visualisation</w:t>
      </w:r>
      <w:proofErr w:type="spellEnd"/>
      <w:r>
        <w:rPr>
          <w:rFonts w:ascii="Times New Roman" w:eastAsia="Times New Roman" w:hAnsi="Times New Roman" w:cs="Times New Roman"/>
          <w:sz w:val="24"/>
          <w:szCs w:val="24"/>
        </w:rPr>
        <w:t xml:space="preserve"> </w:t>
      </w:r>
    </w:p>
    <w:p w14:paraId="4E21A19D"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(pp. 1–13). Springer International Publishing. </w:t>
      </w:r>
      <w:hyperlink r:id="rId17">
        <w:r>
          <w:rPr>
            <w:rFonts w:ascii="Times New Roman" w:eastAsia="Times New Roman" w:hAnsi="Times New Roman" w:cs="Times New Roman"/>
            <w:sz w:val="24"/>
            <w:szCs w:val="24"/>
          </w:rPr>
          <w:t>https://doi.org/10.1007/978-3-030-06070-1</w:t>
        </w:r>
      </w:hyperlink>
    </w:p>
    <w:p w14:paraId="7B41D9D3"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Huang, J., Ocarina, S., Sims, C., </w:t>
      </w:r>
      <w:proofErr w:type="spellStart"/>
      <w:r>
        <w:rPr>
          <w:rFonts w:ascii="Times New Roman" w:eastAsia="Times New Roman" w:hAnsi="Times New Roman" w:cs="Times New Roman"/>
          <w:sz w:val="24"/>
          <w:szCs w:val="24"/>
        </w:rPr>
        <w:t>Licatino</w:t>
      </w:r>
      <w:proofErr w:type="spellEnd"/>
      <w:r>
        <w:rPr>
          <w:rFonts w:ascii="Times New Roman" w:eastAsia="Times New Roman" w:hAnsi="Times New Roman" w:cs="Times New Roman"/>
          <w:sz w:val="24"/>
          <w:szCs w:val="24"/>
        </w:rPr>
        <w:t xml:space="preserve">, L., &amp; Warner, P. (2021). A novel approach to </w:t>
      </w:r>
    </w:p>
    <w:p w14:paraId="284E7308" w14:textId="77777777" w:rsidR="00D401A7"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emergency airway simulation using a 3D-printed cricothyrotomy task trainer. </w:t>
      </w:r>
      <w:r>
        <w:rPr>
          <w:rFonts w:ascii="Times New Roman" w:eastAsia="Times New Roman" w:hAnsi="Times New Roman" w:cs="Times New Roman"/>
          <w:i/>
          <w:sz w:val="24"/>
          <w:szCs w:val="24"/>
        </w:rPr>
        <w:t xml:space="preserve">The </w:t>
      </w:r>
    </w:p>
    <w:p w14:paraId="649FCBA7"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Journal of Education in Perioperative Medicine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(3), 1–12.</w:t>
      </w:r>
    </w:p>
    <w:p w14:paraId="6154A606"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Hung, O., &amp; Murphy, M. F. (2017). </w:t>
      </w:r>
      <w:r>
        <w:rPr>
          <w:rFonts w:ascii="Times New Roman" w:eastAsia="Times New Roman" w:hAnsi="Times New Roman" w:cs="Times New Roman"/>
          <w:i/>
          <w:sz w:val="24"/>
          <w:szCs w:val="24"/>
        </w:rPr>
        <w:t>Management of the difficult and failed airway, third edition</w:t>
      </w:r>
      <w:r>
        <w:rPr>
          <w:rFonts w:ascii="Times New Roman" w:eastAsia="Times New Roman" w:hAnsi="Times New Roman" w:cs="Times New Roman"/>
          <w:sz w:val="24"/>
          <w:szCs w:val="24"/>
        </w:rPr>
        <w:t xml:space="preserve"> (3rd ed.). </w:t>
      </w:r>
      <w:proofErr w:type="spellStart"/>
      <w:r>
        <w:rPr>
          <w:rFonts w:ascii="Times New Roman" w:eastAsia="Times New Roman" w:hAnsi="Times New Roman" w:cs="Times New Roman"/>
          <w:sz w:val="24"/>
          <w:szCs w:val="24"/>
        </w:rPr>
        <w:t>Mcgraw-hill</w:t>
      </w:r>
      <w:proofErr w:type="spellEnd"/>
      <w:r>
        <w:rPr>
          <w:rFonts w:ascii="Times New Roman" w:eastAsia="Times New Roman" w:hAnsi="Times New Roman" w:cs="Times New Roman"/>
          <w:sz w:val="24"/>
          <w:szCs w:val="24"/>
        </w:rPr>
        <w:t xml:space="preserve"> Education / Medical.</w:t>
      </w:r>
    </w:p>
    <w:p w14:paraId="077224A7"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Jeffries, P. R., Rodgers, B., &amp; Adamson, K. (2015). </w:t>
      </w:r>
      <w:proofErr w:type="spellStart"/>
      <w:r>
        <w:rPr>
          <w:rFonts w:ascii="Times New Roman" w:eastAsia="Times New Roman" w:hAnsi="Times New Roman" w:cs="Times New Roman"/>
          <w:sz w:val="24"/>
          <w:szCs w:val="24"/>
        </w:rPr>
        <w:t>Nln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jeffries</w:t>
      </w:r>
      <w:proofErr w:type="spellEnd"/>
      <w:r>
        <w:rPr>
          <w:rFonts w:ascii="Times New Roman" w:eastAsia="Times New Roman" w:hAnsi="Times New Roman" w:cs="Times New Roman"/>
          <w:sz w:val="24"/>
          <w:szCs w:val="24"/>
        </w:rPr>
        <w:t xml:space="preserve"> simulation theory: Brief </w:t>
      </w:r>
    </w:p>
    <w:p w14:paraId="40F4C06F"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narrative description. </w:t>
      </w:r>
      <w:r>
        <w:rPr>
          <w:rFonts w:ascii="Times New Roman" w:eastAsia="Times New Roman" w:hAnsi="Times New Roman" w:cs="Times New Roman"/>
          <w:i/>
          <w:sz w:val="24"/>
          <w:szCs w:val="24"/>
        </w:rPr>
        <w:t>Nursing Education Perspectives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36</w:t>
      </w:r>
      <w:r>
        <w:rPr>
          <w:rFonts w:ascii="Times New Roman" w:eastAsia="Times New Roman" w:hAnsi="Times New Roman" w:cs="Times New Roman"/>
          <w:sz w:val="24"/>
          <w:szCs w:val="24"/>
        </w:rPr>
        <w:t xml:space="preserve">(5), 292–293. </w:t>
      </w:r>
    </w:p>
    <w:p w14:paraId="08872AC9" w14:textId="77777777" w:rsidR="00D401A7" w:rsidRDefault="00000000">
      <w:pPr>
        <w:spacing w:line="480" w:lineRule="auto"/>
        <w:ind w:firstLine="720"/>
        <w:rPr>
          <w:rFonts w:ascii="Times New Roman" w:eastAsia="Times New Roman" w:hAnsi="Times New Roman" w:cs="Times New Roman"/>
          <w:sz w:val="24"/>
          <w:szCs w:val="24"/>
        </w:rPr>
      </w:pPr>
      <w:hyperlink r:id="rId18">
        <w:r>
          <w:rPr>
            <w:rFonts w:ascii="Times New Roman" w:eastAsia="Times New Roman" w:hAnsi="Times New Roman" w:cs="Times New Roman"/>
            <w:sz w:val="24"/>
            <w:szCs w:val="24"/>
          </w:rPr>
          <w:t>https://doi.org/10.1097/00024776-201509000-00004</w:t>
        </w:r>
      </w:hyperlink>
    </w:p>
    <w:p w14:paraId="448106EF"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Joffe, A. M., Aziz, M. F., Posner, K. L., Duggan, L. V., Mincer, S. L., &amp; Domino, K. B. (2019).</w:t>
      </w:r>
      <w:r>
        <w:rPr>
          <w:rFonts w:ascii="Times New Roman" w:eastAsia="Times New Roman" w:hAnsi="Times New Roman" w:cs="Times New Roman"/>
          <w:sz w:val="24"/>
          <w:szCs w:val="24"/>
        </w:rPr>
        <w:tab/>
      </w:r>
    </w:p>
    <w:p w14:paraId="24F3D538"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of Difficult Tracheal Intubation: A Closed Claims Analysis. </w:t>
      </w:r>
      <w:r>
        <w:rPr>
          <w:rFonts w:ascii="Times New Roman" w:eastAsia="Times New Roman" w:hAnsi="Times New Roman" w:cs="Times New Roman"/>
          <w:i/>
          <w:sz w:val="24"/>
          <w:szCs w:val="24"/>
        </w:rPr>
        <w:t>Anesthesiology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131</w:t>
      </w:r>
      <w:r>
        <w:rPr>
          <w:rFonts w:ascii="Times New Roman" w:eastAsia="Times New Roman" w:hAnsi="Times New Roman" w:cs="Times New Roman"/>
          <w:sz w:val="24"/>
          <w:szCs w:val="24"/>
        </w:rPr>
        <w:t xml:space="preserve">(4), 818–829. </w:t>
      </w:r>
      <w:hyperlink r:id="rId19">
        <w:r>
          <w:rPr>
            <w:rFonts w:ascii="Times New Roman" w:eastAsia="Times New Roman" w:hAnsi="Times New Roman" w:cs="Times New Roman"/>
            <w:sz w:val="24"/>
            <w:szCs w:val="24"/>
          </w:rPr>
          <w:t>https://doi.org/10.1097/ALN.0000000000002815</w:t>
        </w:r>
      </w:hyperlink>
    </w:p>
    <w:p w14:paraId="39478961" w14:textId="77777777" w:rsidR="00D401A7"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Johns Hopkins Nursing Center for Evidence-Based Practice. (2021). </w:t>
      </w:r>
      <w:r>
        <w:rPr>
          <w:rFonts w:ascii="Times New Roman" w:eastAsia="Times New Roman" w:hAnsi="Times New Roman" w:cs="Times New Roman"/>
          <w:i/>
          <w:sz w:val="24"/>
          <w:szCs w:val="24"/>
        </w:rPr>
        <w:t xml:space="preserve">Johns Hopkins nursing </w:t>
      </w:r>
    </w:p>
    <w:p w14:paraId="086E2562"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evidence-based practice</w:t>
      </w:r>
      <w:r>
        <w:rPr>
          <w:rFonts w:ascii="Times New Roman" w:eastAsia="Times New Roman" w:hAnsi="Times New Roman" w:cs="Times New Roman"/>
          <w:sz w:val="24"/>
          <w:szCs w:val="24"/>
        </w:rPr>
        <w:t>. UPSTATE MEDICAL UNIVERSITY: Health Sciences Library. Retrieved November 29, 2021, from</w:t>
      </w:r>
    </w:p>
    <w:p w14:paraId="049CDD9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20">
        <w:r>
          <w:rPr>
            <w:rFonts w:ascii="Times New Roman" w:eastAsia="Times New Roman" w:hAnsi="Times New Roman" w:cs="Times New Roman"/>
            <w:sz w:val="24"/>
            <w:szCs w:val="24"/>
          </w:rPr>
          <w:t>https://guides.upstate.edu/c.php?g=1023176&amp;p=7411252</w:t>
        </w:r>
      </w:hyperlink>
    </w:p>
    <w:p w14:paraId="10EDE484"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Kovoor</w:t>
      </w:r>
      <w:proofErr w:type="spellEnd"/>
      <w:r>
        <w:rPr>
          <w:rFonts w:ascii="Times New Roman" w:eastAsia="Times New Roman" w:hAnsi="Times New Roman" w:cs="Times New Roman"/>
          <w:sz w:val="24"/>
          <w:szCs w:val="24"/>
        </w:rPr>
        <w:t xml:space="preserve">, J. G., Gupta, A. K., &amp; Gladman, M. A. (2021). Validity and effectiveness of augmented </w:t>
      </w:r>
    </w:p>
    <w:p w14:paraId="11645CB2"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reality in surgical education: A systematic review. Surgery, 170(1), 88–98. </w:t>
      </w:r>
    </w:p>
    <w:p w14:paraId="5244C9BE" w14:textId="77777777" w:rsidR="00D401A7" w:rsidRDefault="00000000">
      <w:pPr>
        <w:spacing w:line="480" w:lineRule="auto"/>
        <w:ind w:firstLine="720"/>
        <w:rPr>
          <w:rFonts w:ascii="Times New Roman" w:eastAsia="Times New Roman" w:hAnsi="Times New Roman" w:cs="Times New Roman"/>
          <w:sz w:val="24"/>
          <w:szCs w:val="24"/>
        </w:rPr>
      </w:pPr>
      <w:hyperlink r:id="rId21">
        <w:r>
          <w:rPr>
            <w:rFonts w:ascii="Times New Roman" w:eastAsia="Times New Roman" w:hAnsi="Times New Roman" w:cs="Times New Roman"/>
            <w:sz w:val="24"/>
            <w:szCs w:val="24"/>
          </w:rPr>
          <w:t>https://doi.org/10.1016/j.surg.2021.01.051</w:t>
        </w:r>
      </w:hyperlink>
    </w:p>
    <w:p w14:paraId="33FC56E4"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Y., &amp; </w:t>
      </w:r>
      <w:proofErr w:type="spellStart"/>
      <w:r>
        <w:rPr>
          <w:rFonts w:ascii="Times New Roman" w:eastAsia="Times New Roman" w:hAnsi="Times New Roman" w:cs="Times New Roman"/>
          <w:sz w:val="24"/>
          <w:szCs w:val="24"/>
        </w:rPr>
        <w:t>Öztürk</w:t>
      </w:r>
      <w:proofErr w:type="spellEnd"/>
      <w:r>
        <w:rPr>
          <w:rFonts w:ascii="Times New Roman" w:eastAsia="Times New Roman" w:hAnsi="Times New Roman" w:cs="Times New Roman"/>
          <w:sz w:val="24"/>
          <w:szCs w:val="24"/>
        </w:rPr>
        <w:t xml:space="preserve">, H. (2021). The effect of mobile augmented reality application developed for </w:t>
      </w:r>
    </w:p>
    <w:p w14:paraId="729E2CA3"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injections on the knowledge and skill levels of nursing students: </w:t>
      </w:r>
      <w:proofErr w:type="gramStart"/>
      <w:r>
        <w:rPr>
          <w:rFonts w:ascii="Times New Roman" w:eastAsia="Times New Roman" w:hAnsi="Times New Roman" w:cs="Times New Roman"/>
          <w:sz w:val="24"/>
          <w:szCs w:val="24"/>
        </w:rPr>
        <w:t>An experimental</w:t>
      </w:r>
      <w:proofErr w:type="gramEnd"/>
      <w:r>
        <w:rPr>
          <w:rFonts w:ascii="Times New Roman" w:eastAsia="Times New Roman" w:hAnsi="Times New Roman" w:cs="Times New Roman"/>
          <w:sz w:val="24"/>
          <w:szCs w:val="24"/>
        </w:rPr>
        <w:t xml:space="preserve"> </w:t>
      </w:r>
    </w:p>
    <w:p w14:paraId="392351D1"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controlled study. Nurse Education Today, 103, 104955. </w:t>
      </w:r>
    </w:p>
    <w:p w14:paraId="1B068848" w14:textId="77777777" w:rsidR="00D401A7" w:rsidRDefault="00000000">
      <w:pPr>
        <w:spacing w:line="480" w:lineRule="auto"/>
        <w:ind w:firstLine="720"/>
        <w:rPr>
          <w:rFonts w:ascii="Times New Roman" w:eastAsia="Times New Roman" w:hAnsi="Times New Roman" w:cs="Times New Roman"/>
          <w:sz w:val="24"/>
          <w:szCs w:val="24"/>
        </w:rPr>
      </w:pPr>
      <w:hyperlink r:id="rId22">
        <w:r>
          <w:rPr>
            <w:rFonts w:ascii="Times New Roman" w:eastAsia="Times New Roman" w:hAnsi="Times New Roman" w:cs="Times New Roman"/>
            <w:sz w:val="24"/>
            <w:szCs w:val="24"/>
          </w:rPr>
          <w:t>https://doi.org/10.1016/j.nedt.2021.104955</w:t>
        </w:r>
      </w:hyperlink>
    </w:p>
    <w:p w14:paraId="64A70553"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Lutgendorf, M. A., Spalding, C., Drake, E., Spence, D., Heaton, J. O., &amp; Morocco, K. V. (2017). </w:t>
      </w:r>
    </w:p>
    <w:p w14:paraId="768432D1"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Multidisciplinary in situ simulation-based training as a postpartum hemorrhage quality </w:t>
      </w:r>
    </w:p>
    <w:p w14:paraId="489E6AD2"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improvement project. </w:t>
      </w:r>
      <w:r>
        <w:rPr>
          <w:rFonts w:ascii="Times New Roman" w:eastAsia="Times New Roman" w:hAnsi="Times New Roman" w:cs="Times New Roman"/>
          <w:i/>
          <w:sz w:val="24"/>
          <w:szCs w:val="24"/>
        </w:rPr>
        <w:t>Military Medicine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182</w:t>
      </w:r>
      <w:r>
        <w:rPr>
          <w:rFonts w:ascii="Times New Roman" w:eastAsia="Times New Roman" w:hAnsi="Times New Roman" w:cs="Times New Roman"/>
          <w:sz w:val="24"/>
          <w:szCs w:val="24"/>
        </w:rPr>
        <w:t xml:space="preserve">(3), e1762–e1766. </w:t>
      </w:r>
    </w:p>
    <w:p w14:paraId="0074CD8A" w14:textId="77777777" w:rsidR="00D401A7" w:rsidRDefault="00000000">
      <w:pPr>
        <w:spacing w:line="523" w:lineRule="auto"/>
        <w:ind w:firstLine="720"/>
        <w:rPr>
          <w:rFonts w:ascii="Times New Roman" w:eastAsia="Times New Roman" w:hAnsi="Times New Roman" w:cs="Times New Roman"/>
          <w:sz w:val="24"/>
          <w:szCs w:val="24"/>
        </w:rPr>
      </w:pPr>
      <w:hyperlink r:id="rId23">
        <w:r>
          <w:rPr>
            <w:rFonts w:ascii="Times New Roman" w:eastAsia="Times New Roman" w:hAnsi="Times New Roman" w:cs="Times New Roman"/>
            <w:sz w:val="24"/>
            <w:szCs w:val="24"/>
          </w:rPr>
          <w:t>https://doi.org/10.7205/milmed-d-16-00030</w:t>
        </w:r>
      </w:hyperlink>
    </w:p>
    <w:p w14:paraId="1BFDD30B"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Martlı</w:t>
      </w:r>
      <w:proofErr w:type="spellEnd"/>
      <w:r>
        <w:rPr>
          <w:rFonts w:ascii="Times New Roman" w:eastAsia="Times New Roman" w:hAnsi="Times New Roman" w:cs="Times New Roman"/>
          <w:sz w:val="24"/>
          <w:szCs w:val="24"/>
        </w:rPr>
        <w:t xml:space="preserve">, E., &amp; </w:t>
      </w:r>
      <w:proofErr w:type="spellStart"/>
      <w:r>
        <w:rPr>
          <w:rFonts w:ascii="Times New Roman" w:eastAsia="Times New Roman" w:hAnsi="Times New Roman" w:cs="Times New Roman"/>
          <w:sz w:val="24"/>
          <w:szCs w:val="24"/>
        </w:rPr>
        <w:t>Dinçer</w:t>
      </w:r>
      <w:proofErr w:type="spellEnd"/>
      <w:r>
        <w:rPr>
          <w:rFonts w:ascii="Times New Roman" w:eastAsia="Times New Roman" w:hAnsi="Times New Roman" w:cs="Times New Roman"/>
          <w:sz w:val="24"/>
          <w:szCs w:val="24"/>
        </w:rPr>
        <w:t xml:space="preserve">, U., N. (2021). Technology in nursing education: Augmented reality. </w:t>
      </w:r>
    </w:p>
    <w:p w14:paraId="73961167" w14:textId="77777777" w:rsidR="00D401A7" w:rsidRDefault="00000000">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Pamukkale</w:t>
      </w:r>
      <w:proofErr w:type="spellEnd"/>
      <w:r>
        <w:rPr>
          <w:rFonts w:ascii="Times New Roman" w:eastAsia="Times New Roman" w:hAnsi="Times New Roman" w:cs="Times New Roman"/>
          <w:i/>
          <w:sz w:val="24"/>
          <w:szCs w:val="24"/>
        </w:rPr>
        <w:t xml:space="preserve"> University Journal of Engineering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 xml:space="preserve">(5), 627–637. </w:t>
      </w:r>
    </w:p>
    <w:p w14:paraId="5F26A1E7" w14:textId="77777777" w:rsidR="00D401A7" w:rsidRDefault="00000000">
      <w:pPr>
        <w:spacing w:line="480" w:lineRule="auto"/>
        <w:ind w:firstLine="720"/>
        <w:rPr>
          <w:rFonts w:ascii="Times New Roman" w:eastAsia="Times New Roman" w:hAnsi="Times New Roman" w:cs="Times New Roman"/>
          <w:sz w:val="24"/>
          <w:szCs w:val="24"/>
        </w:rPr>
      </w:pPr>
      <w:hyperlink r:id="rId24">
        <w:r>
          <w:rPr>
            <w:rFonts w:ascii="Times New Roman" w:eastAsia="Times New Roman" w:hAnsi="Times New Roman" w:cs="Times New Roman"/>
            <w:sz w:val="24"/>
            <w:szCs w:val="24"/>
          </w:rPr>
          <w:t>https://doi.org/10.5505/pajes.2020.38228</w:t>
        </w:r>
      </w:hyperlink>
    </w:p>
    <w:p w14:paraId="681DF85A" w14:textId="77777777" w:rsidR="00D401A7"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Melnyk, B. M., &amp; Fineout-Overholt, E. (2018). </w:t>
      </w:r>
      <w:r>
        <w:rPr>
          <w:rFonts w:ascii="Times New Roman" w:eastAsia="Times New Roman" w:hAnsi="Times New Roman" w:cs="Times New Roman"/>
          <w:i/>
          <w:sz w:val="24"/>
          <w:szCs w:val="24"/>
        </w:rPr>
        <w:t xml:space="preserve">Evidence-based practice in nursing &amp; </w:t>
      </w:r>
    </w:p>
    <w:p w14:paraId="60CD81F0"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healthcare: A guide to best </w:t>
      </w:r>
      <w:proofErr w:type="gramStart"/>
      <w:r>
        <w:rPr>
          <w:rFonts w:ascii="Times New Roman" w:eastAsia="Times New Roman" w:hAnsi="Times New Roman" w:cs="Times New Roman"/>
          <w:i/>
          <w:sz w:val="24"/>
          <w:szCs w:val="24"/>
        </w:rPr>
        <w:t>practice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4th ed.). Wolters Kluwer.</w:t>
      </w:r>
    </w:p>
    <w:p w14:paraId="46FECDF2"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C., Lee, B., </w:t>
      </w:r>
      <w:proofErr w:type="spellStart"/>
      <w:r>
        <w:rPr>
          <w:rFonts w:ascii="Times New Roman" w:eastAsia="Times New Roman" w:hAnsi="Times New Roman" w:cs="Times New Roman"/>
          <w:sz w:val="24"/>
          <w:szCs w:val="24"/>
        </w:rPr>
        <w:t>Schiavi</w:t>
      </w:r>
      <w:proofErr w:type="spellEnd"/>
      <w:r>
        <w:rPr>
          <w:rFonts w:ascii="Times New Roman" w:eastAsia="Times New Roman" w:hAnsi="Times New Roman" w:cs="Times New Roman"/>
          <w:sz w:val="24"/>
          <w:szCs w:val="24"/>
        </w:rPr>
        <w:t xml:space="preserve">, A., Jackson, E., &amp; Gottschalk, A. (2020). Anesthesia simulation boot </w:t>
      </w:r>
    </w:p>
    <w:p w14:paraId="382F9D1F" w14:textId="77777777" w:rsidR="00D401A7" w:rsidRDefault="00000000">
      <w:pPr>
        <w:spacing w:line="523"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camp—a decade of experience enhancing self-efficacy in first-year residents. </w:t>
      </w:r>
      <w:r>
        <w:rPr>
          <w:rFonts w:ascii="Times New Roman" w:eastAsia="Times New Roman" w:hAnsi="Times New Roman" w:cs="Times New Roman"/>
          <w:i/>
          <w:sz w:val="24"/>
          <w:szCs w:val="24"/>
        </w:rPr>
        <w:t xml:space="preserve">Journal of </w:t>
      </w:r>
    </w:p>
    <w:p w14:paraId="15AB90CC"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Education in Perioperative Medicine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 xml:space="preserve">(4). </w:t>
      </w:r>
    </w:p>
    <w:p w14:paraId="71DE901D" w14:textId="77777777" w:rsidR="00D401A7" w:rsidRDefault="00000000">
      <w:pPr>
        <w:spacing w:line="523" w:lineRule="auto"/>
        <w:ind w:firstLine="720"/>
        <w:rPr>
          <w:rFonts w:ascii="Times New Roman" w:eastAsia="Times New Roman" w:hAnsi="Times New Roman" w:cs="Times New Roman"/>
          <w:sz w:val="24"/>
          <w:szCs w:val="24"/>
        </w:rPr>
      </w:pPr>
      <w:hyperlink r:id="rId25">
        <w:r>
          <w:rPr>
            <w:rFonts w:ascii="Times New Roman" w:eastAsia="Times New Roman" w:hAnsi="Times New Roman" w:cs="Times New Roman"/>
            <w:sz w:val="24"/>
            <w:szCs w:val="24"/>
          </w:rPr>
          <w:t>https://doi.org/10.46374/volxxii_issue4_schiavi</w:t>
        </w:r>
      </w:hyperlink>
    </w:p>
    <w:p w14:paraId="024B969C"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Moucharite</w:t>
      </w:r>
      <w:proofErr w:type="spellEnd"/>
      <w:r>
        <w:rPr>
          <w:rFonts w:ascii="Times New Roman" w:eastAsia="Times New Roman" w:hAnsi="Times New Roman" w:cs="Times New Roman"/>
          <w:sz w:val="24"/>
          <w:szCs w:val="24"/>
        </w:rPr>
        <w:t xml:space="preserve">, M. A., Zhang, J., &amp; </w:t>
      </w:r>
      <w:proofErr w:type="spellStart"/>
      <w:r>
        <w:rPr>
          <w:rFonts w:ascii="Times New Roman" w:eastAsia="Times New Roman" w:hAnsi="Times New Roman" w:cs="Times New Roman"/>
          <w:sz w:val="24"/>
          <w:szCs w:val="24"/>
        </w:rPr>
        <w:t>Giffin</w:t>
      </w:r>
      <w:proofErr w:type="spellEnd"/>
      <w:r>
        <w:rPr>
          <w:rFonts w:ascii="Times New Roman" w:eastAsia="Times New Roman" w:hAnsi="Times New Roman" w:cs="Times New Roman"/>
          <w:sz w:val="24"/>
          <w:szCs w:val="24"/>
        </w:rPr>
        <w:t xml:space="preserve">, R. (2021). Factors and economic outcomes associated </w:t>
      </w:r>
    </w:p>
    <w:p w14:paraId="28DD8BB5" w14:textId="77777777" w:rsidR="00D401A7"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with documented difficult intubation in the </w:t>
      </w:r>
      <w:proofErr w:type="gramStart"/>
      <w:r>
        <w:rPr>
          <w:rFonts w:ascii="Times New Roman" w:eastAsia="Times New Roman" w:hAnsi="Times New Roman" w:cs="Times New Roman"/>
          <w:sz w:val="24"/>
          <w:szCs w:val="24"/>
        </w:rPr>
        <w:t>united states</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ClinicoEconomics</w:t>
      </w:r>
      <w:proofErr w:type="spellEnd"/>
      <w:r>
        <w:rPr>
          <w:rFonts w:ascii="Times New Roman" w:eastAsia="Times New Roman" w:hAnsi="Times New Roman" w:cs="Times New Roman"/>
          <w:i/>
          <w:sz w:val="24"/>
          <w:szCs w:val="24"/>
        </w:rPr>
        <w:t xml:space="preserve"> and</w:t>
      </w:r>
    </w:p>
    <w:p w14:paraId="5645589A"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Outcomes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Volume 13</w:t>
      </w:r>
      <w:r>
        <w:rPr>
          <w:rFonts w:ascii="Times New Roman" w:eastAsia="Times New Roman" w:hAnsi="Times New Roman" w:cs="Times New Roman"/>
          <w:sz w:val="24"/>
          <w:szCs w:val="24"/>
        </w:rPr>
        <w:t xml:space="preserve">, 227–239. </w:t>
      </w:r>
      <w:hyperlink r:id="rId26">
        <w:r>
          <w:rPr>
            <w:rFonts w:ascii="Times New Roman" w:eastAsia="Times New Roman" w:hAnsi="Times New Roman" w:cs="Times New Roman"/>
            <w:sz w:val="24"/>
            <w:szCs w:val="24"/>
          </w:rPr>
          <w:t>https://doi.org/10.2147/ceor.s304037</w:t>
        </w:r>
      </w:hyperlink>
    </w:p>
    <w:p w14:paraId="3D64DF1E"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B., &amp; </w:t>
      </w:r>
      <w:proofErr w:type="spellStart"/>
      <w:r>
        <w:rPr>
          <w:rFonts w:ascii="Times New Roman" w:eastAsia="Times New Roman" w:hAnsi="Times New Roman" w:cs="Times New Roman"/>
          <w:sz w:val="24"/>
          <w:szCs w:val="24"/>
        </w:rPr>
        <w:t>Obr</w:t>
      </w:r>
      <w:proofErr w:type="spellEnd"/>
      <w:r>
        <w:rPr>
          <w:rFonts w:ascii="Times New Roman" w:eastAsia="Times New Roman" w:hAnsi="Times New Roman" w:cs="Times New Roman"/>
          <w:sz w:val="24"/>
          <w:szCs w:val="24"/>
        </w:rPr>
        <w:t xml:space="preserve">, C. (2017). Preparing for cardiopulmonary bypass: A simulation scenario for </w:t>
      </w:r>
    </w:p>
    <w:p w14:paraId="61D04D33"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anesthesia providers. </w:t>
      </w:r>
      <w:proofErr w:type="spellStart"/>
      <w:r>
        <w:rPr>
          <w:rFonts w:ascii="Times New Roman" w:eastAsia="Times New Roman" w:hAnsi="Times New Roman" w:cs="Times New Roman"/>
          <w:i/>
          <w:sz w:val="24"/>
          <w:szCs w:val="24"/>
        </w:rPr>
        <w:t>MedEdPORTAL</w:t>
      </w:r>
      <w:proofErr w:type="spellEnd"/>
      <w:r>
        <w:rPr>
          <w:rFonts w:ascii="Times New Roman" w:eastAsia="Times New Roman" w:hAnsi="Times New Roman" w:cs="Times New Roman"/>
          <w:sz w:val="24"/>
          <w:szCs w:val="24"/>
        </w:rPr>
        <w:t xml:space="preserve">. </w:t>
      </w:r>
      <w:hyperlink r:id="rId27">
        <w:r>
          <w:rPr>
            <w:rFonts w:ascii="Times New Roman" w:eastAsia="Times New Roman" w:hAnsi="Times New Roman" w:cs="Times New Roman"/>
            <w:sz w:val="24"/>
            <w:szCs w:val="24"/>
          </w:rPr>
          <w:t>https://doi.org/10.15766/mep_2374-8265.10578</w:t>
        </w:r>
      </w:hyperlink>
    </w:p>
    <w:p w14:paraId="0F2E8C6D"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L. P., Bank, I., Fisher, R., </w:t>
      </w:r>
      <w:proofErr w:type="spellStart"/>
      <w:r>
        <w:rPr>
          <w:rFonts w:ascii="Times New Roman" w:eastAsia="Times New Roman" w:hAnsi="Times New Roman" w:cs="Times New Roman"/>
          <w:sz w:val="24"/>
          <w:szCs w:val="24"/>
        </w:rPr>
        <w:t>Mascarella</w:t>
      </w:r>
      <w:proofErr w:type="spellEnd"/>
      <w:r>
        <w:rPr>
          <w:rFonts w:ascii="Times New Roman" w:eastAsia="Times New Roman" w:hAnsi="Times New Roman" w:cs="Times New Roman"/>
          <w:sz w:val="24"/>
          <w:szCs w:val="24"/>
        </w:rPr>
        <w:t xml:space="preserve">, M., &amp; Young, M. (2019). Managing the airway </w:t>
      </w:r>
    </w:p>
    <w:p w14:paraId="07CDDE7C"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catastrophe: Longitudinal simulation-based curriculum to teach airway management. </w:t>
      </w:r>
    </w:p>
    <w:p w14:paraId="7FDCE6F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Journal of Otolaryngology - Head &amp; Neck Surgery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 xml:space="preserve">(1). </w:t>
      </w:r>
    </w:p>
    <w:p w14:paraId="5895096A" w14:textId="77777777" w:rsidR="00D401A7" w:rsidRDefault="00000000">
      <w:pPr>
        <w:spacing w:line="480" w:lineRule="auto"/>
        <w:ind w:firstLine="720"/>
        <w:rPr>
          <w:rFonts w:ascii="Times New Roman" w:eastAsia="Times New Roman" w:hAnsi="Times New Roman" w:cs="Times New Roman"/>
          <w:sz w:val="24"/>
          <w:szCs w:val="24"/>
        </w:rPr>
      </w:pPr>
      <w:hyperlink r:id="rId28">
        <w:r>
          <w:rPr>
            <w:rFonts w:ascii="Times New Roman" w:eastAsia="Times New Roman" w:hAnsi="Times New Roman" w:cs="Times New Roman"/>
            <w:sz w:val="24"/>
            <w:szCs w:val="24"/>
          </w:rPr>
          <w:t>https://doi.org/10.1186/s40463-019-0332-0</w:t>
        </w:r>
      </w:hyperlink>
    </w:p>
    <w:p w14:paraId="6896FB33"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Novas</w:t>
      </w:r>
      <w:proofErr w:type="spellEnd"/>
      <w:r>
        <w:rPr>
          <w:rFonts w:ascii="Times New Roman" w:eastAsia="Times New Roman" w:hAnsi="Times New Roman" w:cs="Times New Roman"/>
          <w:sz w:val="24"/>
          <w:szCs w:val="24"/>
        </w:rPr>
        <w:t xml:space="preserve">, D., Domenech, G., </w:t>
      </w:r>
      <w:proofErr w:type="spellStart"/>
      <w:r>
        <w:rPr>
          <w:rFonts w:ascii="Times New Roman" w:eastAsia="Times New Roman" w:hAnsi="Times New Roman" w:cs="Times New Roman"/>
          <w:sz w:val="24"/>
          <w:szCs w:val="24"/>
        </w:rPr>
        <w:t>Belitzky</w:t>
      </w:r>
      <w:proofErr w:type="spellEnd"/>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sz w:val="24"/>
          <w:szCs w:val="24"/>
        </w:rPr>
        <w:t>Errecart</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Terrasa</w:t>
      </w:r>
      <w:proofErr w:type="spellEnd"/>
      <w:r>
        <w:rPr>
          <w:rFonts w:ascii="Times New Roman" w:eastAsia="Times New Roman" w:hAnsi="Times New Roman" w:cs="Times New Roman"/>
          <w:sz w:val="24"/>
          <w:szCs w:val="24"/>
        </w:rPr>
        <w:t xml:space="preserve">, S., &amp; Garcia </w:t>
      </w:r>
      <w:proofErr w:type="spellStart"/>
      <w:r>
        <w:rPr>
          <w:rFonts w:ascii="Times New Roman" w:eastAsia="Times New Roman" w:hAnsi="Times New Roman" w:cs="Times New Roman"/>
          <w:sz w:val="24"/>
          <w:szCs w:val="24"/>
        </w:rPr>
        <w:t>Fornari</w:t>
      </w:r>
      <w:proofErr w:type="spellEnd"/>
      <w:r>
        <w:rPr>
          <w:rFonts w:ascii="Times New Roman" w:eastAsia="Times New Roman" w:hAnsi="Times New Roman" w:cs="Times New Roman"/>
          <w:sz w:val="24"/>
          <w:szCs w:val="24"/>
        </w:rPr>
        <w:t>, G. (2020).</w:t>
      </w:r>
    </w:p>
    <w:p w14:paraId="032FCF9D"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Simulation-based training for early procedural skills acquisition in new anesthesia </w:t>
      </w:r>
    </w:p>
    <w:p w14:paraId="5C3C65B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trainees: A prospective observational study. </w:t>
      </w:r>
      <w:r>
        <w:rPr>
          <w:rFonts w:ascii="Times New Roman" w:eastAsia="Times New Roman" w:hAnsi="Times New Roman" w:cs="Times New Roman"/>
          <w:i/>
          <w:sz w:val="24"/>
          <w:szCs w:val="24"/>
        </w:rPr>
        <w:t>Advances in Simulation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 xml:space="preserve">(1). </w:t>
      </w:r>
    </w:p>
    <w:p w14:paraId="141719B8" w14:textId="77777777" w:rsidR="00D401A7" w:rsidRDefault="00000000">
      <w:pPr>
        <w:spacing w:line="480" w:lineRule="auto"/>
        <w:ind w:firstLine="720"/>
        <w:rPr>
          <w:rFonts w:ascii="Times New Roman" w:eastAsia="Times New Roman" w:hAnsi="Times New Roman" w:cs="Times New Roman"/>
          <w:sz w:val="24"/>
          <w:szCs w:val="24"/>
        </w:rPr>
      </w:pPr>
      <w:hyperlink r:id="rId29">
        <w:r>
          <w:rPr>
            <w:rFonts w:ascii="Times New Roman" w:eastAsia="Times New Roman" w:hAnsi="Times New Roman" w:cs="Times New Roman"/>
            <w:sz w:val="24"/>
            <w:szCs w:val="24"/>
          </w:rPr>
          <w:t>https://doi.org/10.1186/s41077-020-00135-z</w:t>
        </w:r>
      </w:hyperlink>
    </w:p>
    <w:p w14:paraId="5542521A"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Onrubia</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sz w:val="24"/>
          <w:szCs w:val="24"/>
        </w:rPr>
        <w:t>Frova</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sz w:val="24"/>
          <w:szCs w:val="24"/>
        </w:rPr>
        <w:t>Sorbello</w:t>
      </w:r>
      <w:proofErr w:type="spellEnd"/>
      <w:r>
        <w:rPr>
          <w:rFonts w:ascii="Times New Roman" w:eastAsia="Times New Roman" w:hAnsi="Times New Roman" w:cs="Times New Roman"/>
          <w:sz w:val="24"/>
          <w:szCs w:val="24"/>
        </w:rPr>
        <w:t>, M. (2018). Front of neck access to the airway: A narrative</w:t>
      </w:r>
    </w:p>
    <w:p w14:paraId="6C549A5E"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w:t>
      </w:r>
      <w:r>
        <w:rPr>
          <w:rFonts w:ascii="Times New Roman" w:eastAsia="Times New Roman" w:hAnsi="Times New Roman" w:cs="Times New Roman"/>
          <w:i/>
          <w:sz w:val="24"/>
          <w:szCs w:val="24"/>
        </w:rPr>
        <w:t xml:space="preserve">Trends in Anesthesia and Critical Care, 22: 45-55. </w:t>
      </w:r>
      <w:hyperlink r:id="rId30">
        <w:r>
          <w:rPr>
            <w:rFonts w:ascii="Times New Roman" w:eastAsia="Times New Roman" w:hAnsi="Times New Roman" w:cs="Times New Roman"/>
            <w:sz w:val="24"/>
            <w:szCs w:val="24"/>
          </w:rPr>
          <w:t>https://doi.org/10.1016/j.tacc.2018.06.001</w:t>
        </w:r>
      </w:hyperlink>
      <w:r>
        <w:rPr>
          <w:rFonts w:ascii="Times New Roman" w:eastAsia="Times New Roman" w:hAnsi="Times New Roman" w:cs="Times New Roman"/>
          <w:sz w:val="24"/>
          <w:szCs w:val="24"/>
        </w:rPr>
        <w:t xml:space="preserve">   </w:t>
      </w:r>
    </w:p>
    <w:p w14:paraId="04B2E9B6"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Parsons, S. M., </w:t>
      </w:r>
      <w:proofErr w:type="spellStart"/>
      <w:r>
        <w:rPr>
          <w:rFonts w:ascii="Times New Roman" w:eastAsia="Times New Roman" w:hAnsi="Times New Roman" w:cs="Times New Roman"/>
          <w:sz w:val="24"/>
          <w:szCs w:val="24"/>
        </w:rPr>
        <w:t>Kuszajewski</w:t>
      </w:r>
      <w:proofErr w:type="spellEnd"/>
      <w:r>
        <w:rPr>
          <w:rFonts w:ascii="Times New Roman" w:eastAsia="Times New Roman" w:hAnsi="Times New Roman" w:cs="Times New Roman"/>
          <w:sz w:val="24"/>
          <w:szCs w:val="24"/>
        </w:rPr>
        <w:t xml:space="preserve">, M. L., Merritt, D. R., &amp; </w:t>
      </w:r>
      <w:proofErr w:type="spellStart"/>
      <w:r>
        <w:rPr>
          <w:rFonts w:ascii="Times New Roman" w:eastAsia="Times New Roman" w:hAnsi="Times New Roman" w:cs="Times New Roman"/>
          <w:sz w:val="24"/>
          <w:szCs w:val="24"/>
        </w:rPr>
        <w:t>Muckler</w:t>
      </w:r>
      <w:proofErr w:type="spellEnd"/>
      <w:r>
        <w:rPr>
          <w:rFonts w:ascii="Times New Roman" w:eastAsia="Times New Roman" w:hAnsi="Times New Roman" w:cs="Times New Roman"/>
          <w:sz w:val="24"/>
          <w:szCs w:val="24"/>
        </w:rPr>
        <w:t xml:space="preserve">, V. C. (2019). High-fidelity </w:t>
      </w:r>
    </w:p>
    <w:p w14:paraId="5EBC8B6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simulation training for nurse anesthetists managing malignant hyperthermia: A quality </w:t>
      </w:r>
    </w:p>
    <w:p w14:paraId="023D2001"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improvement project. </w:t>
      </w:r>
      <w:r>
        <w:rPr>
          <w:rFonts w:ascii="Times New Roman" w:eastAsia="Times New Roman" w:hAnsi="Times New Roman" w:cs="Times New Roman"/>
          <w:i/>
          <w:sz w:val="24"/>
          <w:szCs w:val="24"/>
        </w:rPr>
        <w:t>Clinical Simulation in Nursing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 xml:space="preserve">, 72–80. </w:t>
      </w:r>
    </w:p>
    <w:p w14:paraId="7E016634" w14:textId="77777777" w:rsidR="00D401A7" w:rsidRDefault="00000000">
      <w:pPr>
        <w:spacing w:line="480" w:lineRule="auto"/>
        <w:ind w:left="720"/>
        <w:rPr>
          <w:rFonts w:ascii="Times New Roman" w:eastAsia="Times New Roman" w:hAnsi="Times New Roman" w:cs="Times New Roman"/>
          <w:sz w:val="24"/>
          <w:szCs w:val="24"/>
        </w:rPr>
      </w:pPr>
      <w:hyperlink r:id="rId31">
        <w:r>
          <w:rPr>
            <w:rFonts w:ascii="Times New Roman" w:eastAsia="Times New Roman" w:hAnsi="Times New Roman" w:cs="Times New Roman"/>
            <w:sz w:val="24"/>
            <w:szCs w:val="24"/>
          </w:rPr>
          <w:t>https://doi.org/10.1016/j.ecns.2018.10.003</w:t>
        </w:r>
      </w:hyperlink>
    </w:p>
    <w:p w14:paraId="16BAE0AA"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Pulijala</w:t>
      </w:r>
      <w:proofErr w:type="spellEnd"/>
      <w:r>
        <w:rPr>
          <w:rFonts w:ascii="Times New Roman" w:eastAsia="Times New Roman" w:hAnsi="Times New Roman" w:cs="Times New Roman"/>
          <w:sz w:val="24"/>
          <w:szCs w:val="24"/>
        </w:rPr>
        <w:t xml:space="preserve">, Y., Ma, M., Pears, M., Peebles, D., &amp; Ayoub, A. (2018). Effectiveness of immersive </w:t>
      </w:r>
    </w:p>
    <w:p w14:paraId="1A49A96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virtual reality in surgical training—a randomized control trial. Journal of Oral and </w:t>
      </w:r>
    </w:p>
    <w:p w14:paraId="16F4D7D8"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Maxillofacial Surgery, 76(5), 1065–1072. </w:t>
      </w:r>
      <w:hyperlink r:id="rId32">
        <w:r>
          <w:rPr>
            <w:rFonts w:ascii="Times New Roman" w:eastAsia="Times New Roman" w:hAnsi="Times New Roman" w:cs="Times New Roman"/>
            <w:sz w:val="24"/>
            <w:szCs w:val="24"/>
          </w:rPr>
          <w:t>https://doi.org/10.1016/j.joms.2017.10.002</w:t>
        </w:r>
      </w:hyperlink>
    </w:p>
    <w:p w14:paraId="4A0943DF"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Putnam, E., </w:t>
      </w:r>
      <w:proofErr w:type="spellStart"/>
      <w:r>
        <w:rPr>
          <w:rFonts w:ascii="Times New Roman" w:eastAsia="Times New Roman" w:hAnsi="Times New Roman" w:cs="Times New Roman"/>
          <w:sz w:val="24"/>
          <w:szCs w:val="24"/>
        </w:rPr>
        <w:t>Rochlen</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Alderink</w:t>
      </w:r>
      <w:proofErr w:type="spellEnd"/>
      <w:r>
        <w:rPr>
          <w:rFonts w:ascii="Times New Roman" w:eastAsia="Times New Roman" w:hAnsi="Times New Roman" w:cs="Times New Roman"/>
          <w:sz w:val="24"/>
          <w:szCs w:val="24"/>
        </w:rPr>
        <w:t xml:space="preserve">, E., Auge´, J., Popov, V., Levine, R., &amp; Tait, A. (2021). </w:t>
      </w:r>
    </w:p>
    <w:p w14:paraId="607DAA03" w14:textId="77777777" w:rsidR="00D401A7" w:rsidRDefault="00000000">
      <w:pPr>
        <w:spacing w:line="523"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Virtual reality simulation for critical pediatric airway management training. </w:t>
      </w:r>
      <w:r>
        <w:rPr>
          <w:rFonts w:ascii="Times New Roman" w:eastAsia="Times New Roman" w:hAnsi="Times New Roman" w:cs="Times New Roman"/>
          <w:i/>
          <w:sz w:val="24"/>
          <w:szCs w:val="24"/>
        </w:rPr>
        <w:t>Journal Clinical and Translational Research</w:t>
      </w:r>
      <w:r>
        <w:rPr>
          <w:rFonts w:ascii="Times New Roman" w:eastAsia="Times New Roman" w:hAnsi="Times New Roman" w:cs="Times New Roman"/>
          <w:sz w:val="24"/>
          <w:szCs w:val="24"/>
        </w:rPr>
        <w:t xml:space="preserve">. </w:t>
      </w:r>
      <w:hyperlink r:id="rId33">
        <w:r>
          <w:rPr>
            <w:rFonts w:ascii="Times New Roman" w:eastAsia="Times New Roman" w:hAnsi="Times New Roman" w:cs="Times New Roman"/>
            <w:sz w:val="24"/>
            <w:szCs w:val="24"/>
          </w:rPr>
          <w:t>https://doi.org/10.18053/jctres.07.202101.008</w:t>
        </w:r>
      </w:hyperlink>
    </w:p>
    <w:p w14:paraId="4FF0136D"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Rojas-Muñoz, E., Lin, C., Sanchez-Tamayo, N., Cabrera, M., Andersen, D., Popescu, V., Barragan, J., </w:t>
      </w:r>
      <w:proofErr w:type="spellStart"/>
      <w:r>
        <w:rPr>
          <w:rFonts w:ascii="Times New Roman" w:eastAsia="Times New Roman" w:hAnsi="Times New Roman" w:cs="Times New Roman"/>
          <w:sz w:val="24"/>
          <w:szCs w:val="24"/>
        </w:rPr>
        <w:t>Zarzaur</w:t>
      </w:r>
      <w:proofErr w:type="spellEnd"/>
      <w:r>
        <w:rPr>
          <w:rFonts w:ascii="Times New Roman" w:eastAsia="Times New Roman" w:hAnsi="Times New Roman" w:cs="Times New Roman"/>
          <w:sz w:val="24"/>
          <w:szCs w:val="24"/>
        </w:rPr>
        <w:t xml:space="preserve">, B., Murphy, P., Anderson, K., Douglas, T., </w:t>
      </w:r>
      <w:proofErr w:type="spellStart"/>
      <w:r>
        <w:rPr>
          <w:rFonts w:ascii="Times New Roman" w:eastAsia="Times New Roman" w:hAnsi="Times New Roman" w:cs="Times New Roman"/>
          <w:sz w:val="24"/>
          <w:szCs w:val="24"/>
        </w:rPr>
        <w:t>Griffis</w:t>
      </w:r>
      <w:proofErr w:type="spellEnd"/>
      <w:r>
        <w:rPr>
          <w:rFonts w:ascii="Times New Roman" w:eastAsia="Times New Roman" w:hAnsi="Times New Roman" w:cs="Times New Roman"/>
          <w:sz w:val="24"/>
          <w:szCs w:val="24"/>
        </w:rPr>
        <w:t xml:space="preserve">, C., McKee, J., Kirkpatrick, A. W., &amp; </w:t>
      </w:r>
      <w:proofErr w:type="spellStart"/>
      <w:r>
        <w:rPr>
          <w:rFonts w:ascii="Times New Roman" w:eastAsia="Times New Roman" w:hAnsi="Times New Roman" w:cs="Times New Roman"/>
          <w:sz w:val="24"/>
          <w:szCs w:val="24"/>
        </w:rPr>
        <w:t>Wachs</w:t>
      </w:r>
      <w:proofErr w:type="spellEnd"/>
      <w:r>
        <w:rPr>
          <w:rFonts w:ascii="Times New Roman" w:eastAsia="Times New Roman" w:hAnsi="Times New Roman" w:cs="Times New Roman"/>
          <w:sz w:val="24"/>
          <w:szCs w:val="24"/>
        </w:rPr>
        <w:t xml:space="preserve">, J. P. (2020). Evaluation of an augmented reality platform for austere surgical </w:t>
      </w:r>
      <w:proofErr w:type="spellStart"/>
      <w:r>
        <w:rPr>
          <w:rFonts w:ascii="Times New Roman" w:eastAsia="Times New Roman" w:hAnsi="Times New Roman" w:cs="Times New Roman"/>
          <w:sz w:val="24"/>
          <w:szCs w:val="24"/>
        </w:rPr>
        <w:t>telementoring</w:t>
      </w:r>
      <w:proofErr w:type="spellEnd"/>
      <w:r>
        <w:rPr>
          <w:rFonts w:ascii="Times New Roman" w:eastAsia="Times New Roman" w:hAnsi="Times New Roman" w:cs="Times New Roman"/>
          <w:sz w:val="24"/>
          <w:szCs w:val="24"/>
        </w:rPr>
        <w:t xml:space="preserve">: A randomized controlled crossover study in cricothyroidotomies. </w:t>
      </w:r>
      <w:proofErr w:type="spellStart"/>
      <w:r>
        <w:rPr>
          <w:rFonts w:ascii="Times New Roman" w:eastAsia="Times New Roman" w:hAnsi="Times New Roman" w:cs="Times New Roman"/>
          <w:i/>
          <w:sz w:val="24"/>
          <w:szCs w:val="24"/>
        </w:rPr>
        <w:t>npj</w:t>
      </w:r>
      <w:proofErr w:type="spellEnd"/>
      <w:r>
        <w:rPr>
          <w:rFonts w:ascii="Times New Roman" w:eastAsia="Times New Roman" w:hAnsi="Times New Roman" w:cs="Times New Roman"/>
          <w:i/>
          <w:sz w:val="24"/>
          <w:szCs w:val="24"/>
        </w:rPr>
        <w:t xml:space="preserve"> Digital Medicine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 xml:space="preserve">(1). </w:t>
      </w:r>
      <w:hyperlink r:id="rId34">
        <w:r>
          <w:rPr>
            <w:rFonts w:ascii="Times New Roman" w:eastAsia="Times New Roman" w:hAnsi="Times New Roman" w:cs="Times New Roman"/>
            <w:sz w:val="24"/>
            <w:szCs w:val="24"/>
          </w:rPr>
          <w:t>https://doi.org/10.1038/s41746-020-0284-9</w:t>
        </w:r>
      </w:hyperlink>
    </w:p>
    <w:p w14:paraId="48260A60" w14:textId="77777777" w:rsidR="00D401A7" w:rsidRDefault="00D401A7">
      <w:pPr>
        <w:spacing w:line="480" w:lineRule="auto"/>
        <w:ind w:left="720"/>
        <w:rPr>
          <w:rFonts w:ascii="Times New Roman" w:eastAsia="Times New Roman" w:hAnsi="Times New Roman" w:cs="Times New Roman"/>
          <w:sz w:val="24"/>
          <w:szCs w:val="24"/>
        </w:rPr>
      </w:pPr>
    </w:p>
    <w:p w14:paraId="7668CD2E" w14:textId="77777777" w:rsidR="00D401A7"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Scott-Herring, M., </w:t>
      </w:r>
      <w:proofErr w:type="spellStart"/>
      <w:r>
        <w:rPr>
          <w:rFonts w:ascii="Times New Roman" w:eastAsia="Times New Roman" w:hAnsi="Times New Roman" w:cs="Times New Roman"/>
          <w:sz w:val="24"/>
          <w:szCs w:val="24"/>
        </w:rPr>
        <w:t>Morosanu</w:t>
      </w:r>
      <w:proofErr w:type="spellEnd"/>
      <w:r>
        <w:rPr>
          <w:rFonts w:ascii="Times New Roman" w:eastAsia="Times New Roman" w:hAnsi="Times New Roman" w:cs="Times New Roman"/>
          <w:sz w:val="24"/>
          <w:szCs w:val="24"/>
        </w:rPr>
        <w:t xml:space="preserve">, I., Bates, J., &amp; </w:t>
      </w:r>
      <w:proofErr w:type="spellStart"/>
      <w:r>
        <w:rPr>
          <w:rFonts w:ascii="Times New Roman" w:eastAsia="Times New Roman" w:hAnsi="Times New Roman" w:cs="Times New Roman"/>
          <w:sz w:val="24"/>
          <w:szCs w:val="24"/>
        </w:rPr>
        <w:t>Batoon</w:t>
      </w:r>
      <w:proofErr w:type="spellEnd"/>
      <w:r>
        <w:rPr>
          <w:rFonts w:ascii="Times New Roman" w:eastAsia="Times New Roman" w:hAnsi="Times New Roman" w:cs="Times New Roman"/>
          <w:sz w:val="24"/>
          <w:szCs w:val="24"/>
        </w:rPr>
        <w:t xml:space="preserve">, B. (2020). Cut to air. </w:t>
      </w:r>
      <w:r>
        <w:rPr>
          <w:rFonts w:ascii="Times New Roman" w:eastAsia="Times New Roman" w:hAnsi="Times New Roman" w:cs="Times New Roman"/>
          <w:i/>
          <w:sz w:val="24"/>
          <w:szCs w:val="24"/>
        </w:rPr>
        <w:t xml:space="preserve">AANA </w:t>
      </w:r>
    </w:p>
    <w:p w14:paraId="2D94426A"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88</w:t>
      </w:r>
      <w:r>
        <w:rPr>
          <w:rFonts w:ascii="Times New Roman" w:eastAsia="Times New Roman" w:hAnsi="Times New Roman" w:cs="Times New Roman"/>
          <w:sz w:val="24"/>
          <w:szCs w:val="24"/>
        </w:rPr>
        <w:t>(2), 116–120.</w:t>
      </w:r>
    </w:p>
    <w:p w14:paraId="2BC4BB25"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Silverio, S. A., Wallace, H., </w:t>
      </w:r>
      <w:proofErr w:type="spellStart"/>
      <w:r>
        <w:rPr>
          <w:rFonts w:ascii="Times New Roman" w:eastAsia="Times New Roman" w:hAnsi="Times New Roman" w:cs="Times New Roman"/>
          <w:sz w:val="24"/>
          <w:szCs w:val="24"/>
        </w:rPr>
        <w:t>Gauntlett</w:t>
      </w:r>
      <w:proofErr w:type="spellEnd"/>
      <w:r>
        <w:rPr>
          <w:rFonts w:ascii="Times New Roman" w:eastAsia="Times New Roman" w:hAnsi="Times New Roman" w:cs="Times New Roman"/>
          <w:sz w:val="24"/>
          <w:szCs w:val="24"/>
        </w:rPr>
        <w:t xml:space="preserve">, W., Berwick, R., Mercer, S., Morton, B., Rogers, S. N., </w:t>
      </w:r>
    </w:p>
    <w:p w14:paraId="354C3DBA" w14:textId="77777777" w:rsidR="00D401A7" w:rsidRDefault="00000000">
      <w:pPr>
        <w:spacing w:line="523"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Sandars</w:t>
      </w:r>
      <w:proofErr w:type="spellEnd"/>
      <w:r>
        <w:rPr>
          <w:rFonts w:ascii="Times New Roman" w:eastAsia="Times New Roman" w:hAnsi="Times New Roman" w:cs="Times New Roman"/>
          <w:sz w:val="24"/>
          <w:szCs w:val="24"/>
        </w:rPr>
        <w:t xml:space="preserve">, J. E., Groom, P., &amp; Brown, J. M. (2021). Becoming the temporary surgeon: A </w:t>
      </w:r>
    </w:p>
    <w:p w14:paraId="48E8E6C1"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grounded theory examination of </w:t>
      </w:r>
      <w:proofErr w:type="spellStart"/>
      <w:r>
        <w:rPr>
          <w:rFonts w:ascii="Times New Roman" w:eastAsia="Times New Roman" w:hAnsi="Times New Roman" w:cs="Times New Roman"/>
          <w:sz w:val="24"/>
          <w:szCs w:val="24"/>
        </w:rPr>
        <w:t>anaesthetists</w:t>
      </w:r>
      <w:proofErr w:type="spellEnd"/>
      <w:r>
        <w:rPr>
          <w:rFonts w:ascii="Times New Roman" w:eastAsia="Times New Roman" w:hAnsi="Times New Roman" w:cs="Times New Roman"/>
          <w:sz w:val="24"/>
          <w:szCs w:val="24"/>
        </w:rPr>
        <w:t xml:space="preserve"> performing emergency front of neck access </w:t>
      </w:r>
    </w:p>
    <w:p w14:paraId="29E96051"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inter-disciplinary simulation-based training. </w:t>
      </w:r>
      <w:r>
        <w:rPr>
          <w:rFonts w:ascii="Times New Roman" w:eastAsia="Times New Roman" w:hAnsi="Times New Roman" w:cs="Times New Roman"/>
          <w:i/>
          <w:sz w:val="24"/>
          <w:szCs w:val="24"/>
        </w:rPr>
        <w:t>PLOS ONE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 xml:space="preserve">(3), e0249070. </w:t>
      </w:r>
    </w:p>
    <w:p w14:paraId="7920D3F8" w14:textId="77777777" w:rsidR="00D401A7" w:rsidRDefault="00000000">
      <w:pPr>
        <w:spacing w:line="523" w:lineRule="auto"/>
        <w:ind w:firstLine="720"/>
        <w:rPr>
          <w:rFonts w:ascii="Times New Roman" w:eastAsia="Times New Roman" w:hAnsi="Times New Roman" w:cs="Times New Roman"/>
          <w:sz w:val="24"/>
          <w:szCs w:val="24"/>
        </w:rPr>
      </w:pPr>
      <w:hyperlink r:id="rId35">
        <w:r>
          <w:rPr>
            <w:rFonts w:ascii="Times New Roman" w:eastAsia="Times New Roman" w:hAnsi="Times New Roman" w:cs="Times New Roman"/>
            <w:sz w:val="24"/>
            <w:szCs w:val="24"/>
          </w:rPr>
          <w:t>https://doi.org/10.1371/journal.pone.0249070</w:t>
        </w:r>
      </w:hyperlink>
    </w:p>
    <w:p w14:paraId="7B70DB68"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Staun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Lanzillotta</w:t>
      </w:r>
      <w:proofErr w:type="spellEnd"/>
      <w:r>
        <w:rPr>
          <w:rFonts w:ascii="Times New Roman" w:eastAsia="Times New Roman" w:hAnsi="Times New Roman" w:cs="Times New Roman"/>
          <w:sz w:val="24"/>
          <w:szCs w:val="24"/>
        </w:rPr>
        <w:t xml:space="preserve">, J., Rota, M., </w:t>
      </w:r>
      <w:proofErr w:type="spellStart"/>
      <w:r>
        <w:rPr>
          <w:rFonts w:ascii="Times New Roman" w:eastAsia="Times New Roman" w:hAnsi="Times New Roman" w:cs="Times New Roman"/>
          <w:sz w:val="24"/>
          <w:szCs w:val="24"/>
        </w:rPr>
        <w:t>Yockey</w:t>
      </w:r>
      <w:proofErr w:type="spellEnd"/>
      <w:r>
        <w:rPr>
          <w:rFonts w:ascii="Times New Roman" w:eastAsia="Times New Roman" w:hAnsi="Times New Roman" w:cs="Times New Roman"/>
          <w:sz w:val="24"/>
          <w:szCs w:val="24"/>
        </w:rPr>
        <w:t xml:space="preserve">, M., &amp; Freed, L. (2020). Anesthesia Simulation in </w:t>
      </w:r>
    </w:p>
    <w:p w14:paraId="339E30F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Cardiac Surgery (ASICS). AANA journal, 88(3), 183–189.</w:t>
      </w:r>
    </w:p>
    <w:p w14:paraId="56C9949A"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Stephenson, E. (2015). Tips for the use of simulation to maintain competency in performing </w:t>
      </w:r>
    </w:p>
    <w:p w14:paraId="0E56B11D" w14:textId="77777777" w:rsidR="00D401A7"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high-risk/low-frequency procedures (D. Billings &amp; K. Kowalski, Eds.). </w:t>
      </w:r>
      <w:r>
        <w:rPr>
          <w:rFonts w:ascii="Times New Roman" w:eastAsia="Times New Roman" w:hAnsi="Times New Roman" w:cs="Times New Roman"/>
          <w:i/>
          <w:sz w:val="24"/>
          <w:szCs w:val="24"/>
        </w:rPr>
        <w:t xml:space="preserve">The Journal of </w:t>
      </w:r>
    </w:p>
    <w:p w14:paraId="2ED55EDB"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Continuing Education in Nursing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46</w:t>
      </w:r>
      <w:r>
        <w:rPr>
          <w:rFonts w:ascii="Times New Roman" w:eastAsia="Times New Roman" w:hAnsi="Times New Roman" w:cs="Times New Roman"/>
          <w:sz w:val="24"/>
          <w:szCs w:val="24"/>
        </w:rPr>
        <w:t xml:space="preserve">(4), 157–159. </w:t>
      </w:r>
      <w:hyperlink r:id="rId36">
        <w:r>
          <w:rPr>
            <w:rFonts w:ascii="Times New Roman" w:eastAsia="Times New Roman" w:hAnsi="Times New Roman" w:cs="Times New Roman"/>
            <w:sz w:val="24"/>
            <w:szCs w:val="24"/>
          </w:rPr>
          <w:t>https://doi.org/10.3928/00220124-20150320-14</w:t>
        </w:r>
      </w:hyperlink>
    </w:p>
    <w:p w14:paraId="4AA4CFAD"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Suzuki, K., Morita, S., Endo, K., Yamamoto, T., </w:t>
      </w:r>
      <w:proofErr w:type="spellStart"/>
      <w:r>
        <w:rPr>
          <w:rFonts w:ascii="Times New Roman" w:eastAsia="Times New Roman" w:hAnsi="Times New Roman" w:cs="Times New Roman"/>
          <w:sz w:val="24"/>
          <w:szCs w:val="24"/>
        </w:rPr>
        <w:t>Fujii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Ohya</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Masamune</w:t>
      </w:r>
      <w:proofErr w:type="spellEnd"/>
      <w:r>
        <w:rPr>
          <w:rFonts w:ascii="Times New Roman" w:eastAsia="Times New Roman" w:hAnsi="Times New Roman" w:cs="Times New Roman"/>
          <w:sz w:val="24"/>
          <w:szCs w:val="24"/>
        </w:rPr>
        <w:t xml:space="preserve">, K., &amp; Sakai, S. </w:t>
      </w:r>
    </w:p>
    <w:p w14:paraId="2FBFEAB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Learning effectiveness of using augmented reality technology in central venous </w:t>
      </w:r>
    </w:p>
    <w:p w14:paraId="709BC079"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 procedure: An experiment using phantom and head-mounted display. </w:t>
      </w:r>
    </w:p>
    <w:p w14:paraId="2233CDEE"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Journal of Computer Assisted Radiology and Surgery, 16(6), 1069–1074. </w:t>
      </w:r>
    </w:p>
    <w:p w14:paraId="386FF38F" w14:textId="77777777" w:rsidR="00D401A7" w:rsidRDefault="00000000">
      <w:pPr>
        <w:spacing w:line="480" w:lineRule="auto"/>
        <w:ind w:firstLine="720"/>
        <w:rPr>
          <w:rFonts w:ascii="Times New Roman" w:eastAsia="Times New Roman" w:hAnsi="Times New Roman" w:cs="Times New Roman"/>
          <w:sz w:val="24"/>
          <w:szCs w:val="24"/>
        </w:rPr>
      </w:pPr>
      <w:hyperlink r:id="rId37">
        <w:r>
          <w:rPr>
            <w:rFonts w:ascii="Times New Roman" w:eastAsia="Times New Roman" w:hAnsi="Times New Roman" w:cs="Times New Roman"/>
            <w:sz w:val="24"/>
            <w:szCs w:val="24"/>
          </w:rPr>
          <w:t>https://doi.org/10.1007/s11548-021-02365-6</w:t>
        </w:r>
      </w:hyperlink>
    </w:p>
    <w:p w14:paraId="39DF9575" w14:textId="77777777" w:rsidR="00D401A7" w:rsidRDefault="00000000">
      <w:pPr>
        <w:pBdr>
          <w:top w:val="nil"/>
          <w:left w:val="nil"/>
          <w:bottom w:val="nil"/>
          <w:right w:val="nil"/>
          <w:between w:val="nil"/>
        </w:pBdr>
        <w:spacing w:after="173" w:line="48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Uppot</w:t>
      </w:r>
      <w:proofErr w:type="spellEnd"/>
      <w:r>
        <w:rPr>
          <w:rFonts w:ascii="Times New Roman" w:eastAsia="Times New Roman" w:hAnsi="Times New Roman" w:cs="Times New Roman"/>
          <w:color w:val="000000"/>
          <w:sz w:val="24"/>
          <w:szCs w:val="24"/>
        </w:rPr>
        <w:t>, R. N., Laguna, B., McCarthy, C. J., De Novi, G., Phelps, A., Siegel, E., &amp; Courtier, J.</w:t>
      </w:r>
      <w:r>
        <w:rPr>
          <w:rFonts w:ascii="Times New Roman" w:eastAsia="Times New Roman" w:hAnsi="Times New Roman" w:cs="Times New Roman"/>
          <w:color w:val="000000"/>
          <w:sz w:val="24"/>
          <w:szCs w:val="24"/>
        </w:rPr>
        <w:tab/>
        <w:t>(2019). Implementing Virtual and Augmented Reality Tools for Radiology Education and</w:t>
      </w:r>
      <w:r>
        <w:rPr>
          <w:rFonts w:ascii="Times New Roman" w:eastAsia="Times New Roman" w:hAnsi="Times New Roman" w:cs="Times New Roman"/>
          <w:color w:val="000000"/>
          <w:sz w:val="24"/>
          <w:szCs w:val="24"/>
        </w:rPr>
        <w:tab/>
        <w:t>Training, Communication, and Clinical Care.</w:t>
      </w:r>
      <w:r>
        <w:rPr>
          <w:rFonts w:ascii="Times New Roman" w:eastAsia="Times New Roman" w:hAnsi="Times New Roman" w:cs="Times New Roman"/>
          <w:i/>
          <w:color w:val="000000"/>
          <w:sz w:val="24"/>
          <w:szCs w:val="24"/>
        </w:rPr>
        <w:t> Radiology, 291</w:t>
      </w:r>
      <w:r>
        <w:rPr>
          <w:rFonts w:ascii="Times New Roman" w:eastAsia="Times New Roman" w:hAnsi="Times New Roman" w:cs="Times New Roman"/>
          <w:color w:val="000000"/>
          <w:sz w:val="24"/>
          <w:szCs w:val="24"/>
        </w:rPr>
        <w:t>(3), 570-580.</w:t>
      </w:r>
      <w:r>
        <w:rPr>
          <w:rFonts w:ascii="Times New Roman" w:eastAsia="Times New Roman" w:hAnsi="Times New Roman" w:cs="Times New Roman"/>
          <w:color w:val="000000"/>
          <w:sz w:val="24"/>
          <w:szCs w:val="24"/>
        </w:rPr>
        <w:tab/>
        <w:t>10.1148/radiol.2019182210</w:t>
      </w:r>
    </w:p>
    <w:p w14:paraId="5175818B" w14:textId="77777777" w:rsidR="00D401A7" w:rsidRDefault="00D401A7">
      <w:pPr>
        <w:spacing w:line="523" w:lineRule="auto"/>
        <w:rPr>
          <w:rFonts w:ascii="Times New Roman" w:eastAsia="Times New Roman" w:hAnsi="Times New Roman" w:cs="Times New Roman"/>
          <w:sz w:val="24"/>
          <w:szCs w:val="24"/>
        </w:rPr>
      </w:pPr>
    </w:p>
    <w:p w14:paraId="23F79BBF" w14:textId="77777777" w:rsidR="00D401A7" w:rsidRDefault="00000000">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Webb, T. T., Boyer, T. J., Mitchell, S. A., &amp; Eddy, C. (2020). Intraoperative sepsis: A simulation </w:t>
      </w:r>
    </w:p>
    <w:p w14:paraId="6D1EB797" w14:textId="77777777" w:rsidR="00D401A7" w:rsidRDefault="0000000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 for anesthesiology residents. </w:t>
      </w:r>
      <w:proofErr w:type="spellStart"/>
      <w:r>
        <w:rPr>
          <w:rFonts w:ascii="Times New Roman" w:eastAsia="Times New Roman" w:hAnsi="Times New Roman" w:cs="Times New Roman"/>
          <w:i/>
          <w:sz w:val="24"/>
          <w:szCs w:val="24"/>
        </w:rPr>
        <w:t>MedEdPORTAL</w:t>
      </w:r>
      <w:proofErr w:type="spellEnd"/>
      <w:r>
        <w:rPr>
          <w:rFonts w:ascii="Times New Roman" w:eastAsia="Times New Roman" w:hAnsi="Times New Roman" w:cs="Times New Roman"/>
          <w:sz w:val="24"/>
          <w:szCs w:val="24"/>
        </w:rPr>
        <w:t xml:space="preserve">. </w:t>
      </w:r>
    </w:p>
    <w:p w14:paraId="4E760774" w14:textId="77777777" w:rsidR="00D401A7" w:rsidRDefault="00000000">
      <w:pPr>
        <w:spacing w:line="523" w:lineRule="auto"/>
        <w:ind w:firstLine="720"/>
        <w:rPr>
          <w:rFonts w:ascii="Times New Roman" w:eastAsia="Times New Roman" w:hAnsi="Times New Roman" w:cs="Times New Roman"/>
          <w:sz w:val="24"/>
          <w:szCs w:val="24"/>
        </w:rPr>
      </w:pPr>
      <w:hyperlink r:id="rId38">
        <w:r>
          <w:rPr>
            <w:rFonts w:ascii="Times New Roman" w:eastAsia="Times New Roman" w:hAnsi="Times New Roman" w:cs="Times New Roman"/>
            <w:sz w:val="24"/>
            <w:szCs w:val="24"/>
          </w:rPr>
          <w:t>https://doi.org/10.15766/mep_2374-8265.10886</w:t>
        </w:r>
      </w:hyperlink>
    </w:p>
    <w:p w14:paraId="2108C0B0"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Wiggins L., Morrison L., Lutz S., &amp; O'Donnell, J. (2018). Using Evidence-Based Best </w:t>
      </w:r>
    </w:p>
    <w:p w14:paraId="67D4E7B7"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Practices of Simulation, Checklists, Deliberate Practice, and Debriefing to Develop and </w:t>
      </w:r>
    </w:p>
    <w:p w14:paraId="6DCA5821"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Improve a Regional Anesthesia Training Course. AANA journal, 86(2), 119–126.</w:t>
      </w:r>
    </w:p>
    <w:p w14:paraId="06A3E579"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 F., </w:t>
      </w:r>
      <w:proofErr w:type="spellStart"/>
      <w:r>
        <w:rPr>
          <w:rFonts w:ascii="Times New Roman" w:eastAsia="Times New Roman" w:hAnsi="Times New Roman" w:cs="Times New Roman"/>
          <w:sz w:val="24"/>
          <w:szCs w:val="24"/>
        </w:rPr>
        <w:t>Harpur</w:t>
      </w:r>
      <w:proofErr w:type="spellEnd"/>
      <w:r>
        <w:rPr>
          <w:rFonts w:ascii="Times New Roman" w:eastAsia="Times New Roman" w:hAnsi="Times New Roman" w:cs="Times New Roman"/>
          <w:sz w:val="24"/>
          <w:szCs w:val="24"/>
        </w:rPr>
        <w:t xml:space="preserve">, J., Watson, T., &amp; Morrow, J. (2003). Adult survivors of severe cerebral </w:t>
      </w:r>
    </w:p>
    <w:p w14:paraId="58A7139E"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hypoxia – case series survey and comparative analysis. </w:t>
      </w:r>
      <w:proofErr w:type="spellStart"/>
      <w:r>
        <w:rPr>
          <w:rFonts w:ascii="Times New Roman" w:eastAsia="Times New Roman" w:hAnsi="Times New Roman" w:cs="Times New Roman"/>
          <w:i/>
          <w:sz w:val="24"/>
          <w:szCs w:val="24"/>
        </w:rPr>
        <w:t>NeuroRehabilitation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rPr>
        <w:t xml:space="preserve">(4), </w:t>
      </w:r>
    </w:p>
    <w:p w14:paraId="1CA88B3D" w14:textId="77777777" w:rsidR="00D401A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291–298. </w:t>
      </w:r>
      <w:hyperlink r:id="rId39">
        <w:r>
          <w:rPr>
            <w:rFonts w:ascii="Times New Roman" w:eastAsia="Times New Roman" w:hAnsi="Times New Roman" w:cs="Times New Roman"/>
            <w:sz w:val="24"/>
            <w:szCs w:val="24"/>
          </w:rPr>
          <w:t>https://doi.org/10.3233/nre-2003-18403</w:t>
        </w:r>
      </w:hyperlink>
    </w:p>
    <w:p w14:paraId="08F259C9" w14:textId="77777777" w:rsidR="00D401A7" w:rsidRDefault="00000000">
      <w:pPr>
        <w:spacing w:line="48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Wittwer</w:t>
      </w:r>
      <w:proofErr w:type="spellEnd"/>
      <w:r>
        <w:rPr>
          <w:rFonts w:ascii="Times New Roman" w:eastAsia="Times New Roman" w:hAnsi="Times New Roman" w:cs="Times New Roman"/>
          <w:sz w:val="24"/>
          <w:szCs w:val="24"/>
        </w:rPr>
        <w:t xml:space="preserve">, R. L., Knott, K. L., &amp; Scott, A. M. (2019). </w:t>
      </w:r>
      <w:r>
        <w:rPr>
          <w:rFonts w:ascii="Times New Roman" w:eastAsia="Times New Roman" w:hAnsi="Times New Roman" w:cs="Times New Roman"/>
          <w:i/>
          <w:sz w:val="24"/>
          <w:szCs w:val="24"/>
        </w:rPr>
        <w:t xml:space="preserve">Evaluation of Cricothyroidotomy training </w:t>
      </w:r>
    </w:p>
    <w:p w14:paraId="546B377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during a “can’t intubate, can’t ventilate” scenario</w:t>
      </w:r>
      <w:r>
        <w:rPr>
          <w:rFonts w:ascii="Times New Roman" w:eastAsia="Times New Roman" w:hAnsi="Times New Roman" w:cs="Times New Roman"/>
          <w:sz w:val="24"/>
          <w:szCs w:val="24"/>
        </w:rPr>
        <w:t xml:space="preserve"> [Unpublished doctoral dissertation]. </w:t>
      </w:r>
    </w:p>
    <w:p w14:paraId="303B4943"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Uniformed Services University.</w:t>
      </w:r>
    </w:p>
    <w:p w14:paraId="6D766D4C"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Wray, A., Khan, F., Ray, J., Rowe, R., Boysen-Osborn, M., Wichmann, W., &amp; Toohey, S. </w:t>
      </w:r>
    </w:p>
    <w:p w14:paraId="734BF444"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(2019). Comparison of the bleeding cricothyrotomy model to </w:t>
      </w:r>
      <w:proofErr w:type="spellStart"/>
      <w:r>
        <w:rPr>
          <w:rFonts w:ascii="Times New Roman" w:eastAsia="Times New Roman" w:hAnsi="Times New Roman" w:cs="Times New Roman"/>
          <w:sz w:val="24"/>
          <w:szCs w:val="24"/>
        </w:rPr>
        <w:t>SimMan</w:t>
      </w:r>
      <w:proofErr w:type="spellEnd"/>
      <w:r>
        <w:rPr>
          <w:rFonts w:ascii="Times New Roman" w:eastAsia="Times New Roman" w:hAnsi="Times New Roman" w:cs="Times New Roman"/>
          <w:sz w:val="24"/>
          <w:szCs w:val="24"/>
        </w:rPr>
        <w:t xml:space="preserve"> for training </w:t>
      </w:r>
    </w:p>
    <w:p w14:paraId="43E6D80D" w14:textId="77777777" w:rsidR="00D401A7"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students and </w:t>
      </w:r>
      <w:proofErr w:type="gramStart"/>
      <w:r>
        <w:rPr>
          <w:rFonts w:ascii="Times New Roman" w:eastAsia="Times New Roman" w:hAnsi="Times New Roman" w:cs="Times New Roman"/>
          <w:sz w:val="24"/>
          <w:szCs w:val="24"/>
        </w:rPr>
        <w:t>residents</w:t>
      </w:r>
      <w:proofErr w:type="gramEnd"/>
      <w:r>
        <w:rPr>
          <w:rFonts w:ascii="Times New Roman" w:eastAsia="Times New Roman" w:hAnsi="Times New Roman" w:cs="Times New Roman"/>
          <w:sz w:val="24"/>
          <w:szCs w:val="24"/>
        </w:rPr>
        <w:t xml:space="preserve"> emergency cricothyrotomy. </w:t>
      </w:r>
      <w:r>
        <w:rPr>
          <w:rFonts w:ascii="Times New Roman" w:eastAsia="Times New Roman" w:hAnsi="Times New Roman" w:cs="Times New Roman"/>
          <w:i/>
          <w:sz w:val="24"/>
          <w:szCs w:val="24"/>
        </w:rPr>
        <w:t xml:space="preserve">Journal of Advances in Medical </w:t>
      </w:r>
    </w:p>
    <w:p w14:paraId="09FB549A"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Education &amp; Professionalism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(3), 144–148.</w:t>
      </w:r>
      <w:hyperlink r:id="rId40">
        <w:r>
          <w:rPr>
            <w:rFonts w:ascii="Times New Roman" w:eastAsia="Times New Roman" w:hAnsi="Times New Roman" w:cs="Times New Roman"/>
            <w:sz w:val="24"/>
            <w:szCs w:val="24"/>
          </w:rPr>
          <w:t>https://doi.org/10.30476/JAMP.2019.74895</w:t>
        </w:r>
      </w:hyperlink>
    </w:p>
    <w:p w14:paraId="09E93E50" w14:textId="77777777" w:rsidR="00D401A7"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L., Gomez, N., Gonzalez, J. E., </w:t>
      </w:r>
      <w:proofErr w:type="spellStart"/>
      <w:r>
        <w:rPr>
          <w:rFonts w:ascii="Times New Roman" w:eastAsia="Times New Roman" w:hAnsi="Times New Roman" w:cs="Times New Roman"/>
          <w:sz w:val="24"/>
          <w:szCs w:val="24"/>
        </w:rPr>
        <w:t>Mitzova-Vladinov</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sz w:val="24"/>
          <w:szCs w:val="24"/>
        </w:rPr>
        <w:t>Cacchione</w:t>
      </w:r>
      <w:proofErr w:type="spellEnd"/>
      <w:r>
        <w:rPr>
          <w:rFonts w:ascii="Times New Roman" w:eastAsia="Times New Roman" w:hAnsi="Times New Roman" w:cs="Times New Roman"/>
          <w:sz w:val="24"/>
          <w:szCs w:val="24"/>
        </w:rPr>
        <w:t xml:space="preserve">, M., Mato, J., </w:t>
      </w:r>
    </w:p>
    <w:p w14:paraId="5408368A"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Foronda, C. L., &amp; Groom, J. A. (2020). Fire in the operating room: Use of mixed reality </w:t>
      </w:r>
    </w:p>
    <w:p w14:paraId="5A211DCE" w14:textId="77777777" w:rsidR="00D401A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simulation with nurse anesthesia students. </w:t>
      </w:r>
      <w:r>
        <w:rPr>
          <w:rFonts w:ascii="Times New Roman" w:eastAsia="Times New Roman" w:hAnsi="Times New Roman" w:cs="Times New Roman"/>
          <w:i/>
          <w:sz w:val="24"/>
          <w:szCs w:val="24"/>
        </w:rPr>
        <w:t>Informatics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 xml:space="preserve">(4), 40. </w:t>
      </w:r>
    </w:p>
    <w:p w14:paraId="4381413A" w14:textId="77777777" w:rsidR="00D401A7" w:rsidRDefault="00000000">
      <w:pPr>
        <w:spacing w:line="480" w:lineRule="auto"/>
        <w:ind w:firstLine="720"/>
        <w:rPr>
          <w:rFonts w:ascii="Times New Roman" w:eastAsia="Times New Roman" w:hAnsi="Times New Roman" w:cs="Times New Roman"/>
          <w:sz w:val="24"/>
          <w:szCs w:val="24"/>
        </w:rPr>
        <w:sectPr w:rsidR="00D401A7">
          <w:headerReference w:type="even" r:id="rId41"/>
          <w:headerReference w:type="default" r:id="rId42"/>
          <w:headerReference w:type="first" r:id="rId43"/>
          <w:pgSz w:w="12240" w:h="15840"/>
          <w:pgMar w:top="1440" w:right="1440" w:bottom="1440" w:left="1440" w:header="720" w:footer="720" w:gutter="0"/>
          <w:pgNumType w:start="1"/>
          <w:cols w:space="720"/>
          <w:titlePg/>
        </w:sectPr>
      </w:pPr>
      <w:hyperlink r:id="rId44">
        <w:r>
          <w:rPr>
            <w:rFonts w:ascii="Times New Roman" w:eastAsia="Times New Roman" w:hAnsi="Times New Roman" w:cs="Times New Roman"/>
            <w:sz w:val="24"/>
            <w:szCs w:val="24"/>
          </w:rPr>
          <w:t>https://doi.org/10.3390/informatics7040040</w:t>
        </w:r>
      </w:hyperlink>
    </w:p>
    <w:p w14:paraId="50B01C4B" w14:textId="77777777" w:rsidR="00D401A7" w:rsidRDefault="00000000">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Appendix A: </w:t>
      </w:r>
      <w:r>
        <w:rPr>
          <w:rFonts w:ascii="Times New Roman" w:eastAsia="Times New Roman" w:hAnsi="Times New Roman" w:cs="Times New Roman"/>
          <w:sz w:val="24"/>
          <w:szCs w:val="24"/>
        </w:rPr>
        <w:t>Levels of Evidence</w:t>
      </w:r>
    </w:p>
    <w:tbl>
      <w:tblPr>
        <w:tblStyle w:val="affff0"/>
        <w:tblW w:w="15242" w:type="dxa"/>
        <w:tblInd w:w="-1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1"/>
        <w:gridCol w:w="760"/>
        <w:gridCol w:w="761"/>
        <w:gridCol w:w="761"/>
        <w:gridCol w:w="760"/>
        <w:gridCol w:w="761"/>
        <w:gridCol w:w="761"/>
        <w:gridCol w:w="760"/>
        <w:gridCol w:w="761"/>
        <w:gridCol w:w="761"/>
        <w:gridCol w:w="760"/>
        <w:gridCol w:w="761"/>
        <w:gridCol w:w="761"/>
        <w:gridCol w:w="760"/>
        <w:gridCol w:w="761"/>
        <w:gridCol w:w="761"/>
        <w:gridCol w:w="761"/>
      </w:tblGrid>
      <w:tr w:rsidR="00D401A7" w14:paraId="7E255B99" w14:textId="77777777">
        <w:trPr>
          <w:trHeight w:val="675"/>
        </w:trPr>
        <w:tc>
          <w:tcPr>
            <w:tcW w:w="3072" w:type="dxa"/>
            <w:shd w:val="clear" w:color="auto" w:fill="B7B7B7"/>
            <w:tcMar>
              <w:top w:w="100" w:type="dxa"/>
              <w:left w:w="100" w:type="dxa"/>
              <w:bottom w:w="100" w:type="dxa"/>
              <w:right w:w="100" w:type="dxa"/>
            </w:tcMar>
          </w:tcPr>
          <w:p w14:paraId="0F3A5B5D"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Level of Evidence</w:t>
            </w:r>
          </w:p>
        </w:tc>
        <w:tc>
          <w:tcPr>
            <w:tcW w:w="760" w:type="dxa"/>
            <w:shd w:val="clear" w:color="auto" w:fill="B7B7B7"/>
            <w:tcMar>
              <w:top w:w="100" w:type="dxa"/>
              <w:left w:w="100" w:type="dxa"/>
              <w:bottom w:w="100" w:type="dxa"/>
              <w:right w:w="100" w:type="dxa"/>
            </w:tcMar>
          </w:tcPr>
          <w:p w14:paraId="4CCFCAC3"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w:t>
            </w:r>
          </w:p>
        </w:tc>
        <w:tc>
          <w:tcPr>
            <w:tcW w:w="761" w:type="dxa"/>
            <w:shd w:val="clear" w:color="auto" w:fill="B7B7B7"/>
            <w:tcMar>
              <w:top w:w="100" w:type="dxa"/>
              <w:left w:w="100" w:type="dxa"/>
              <w:bottom w:w="100" w:type="dxa"/>
              <w:right w:w="100" w:type="dxa"/>
            </w:tcMar>
          </w:tcPr>
          <w:p w14:paraId="5AA27BB9"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w:t>
            </w:r>
          </w:p>
        </w:tc>
        <w:tc>
          <w:tcPr>
            <w:tcW w:w="761" w:type="dxa"/>
            <w:shd w:val="clear" w:color="auto" w:fill="B7B7B7"/>
            <w:tcMar>
              <w:top w:w="100" w:type="dxa"/>
              <w:left w:w="100" w:type="dxa"/>
              <w:bottom w:w="100" w:type="dxa"/>
              <w:right w:w="100" w:type="dxa"/>
            </w:tcMar>
          </w:tcPr>
          <w:p w14:paraId="26713CBA"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w:t>
            </w:r>
          </w:p>
        </w:tc>
        <w:tc>
          <w:tcPr>
            <w:tcW w:w="760" w:type="dxa"/>
            <w:shd w:val="clear" w:color="auto" w:fill="B7B7B7"/>
            <w:tcMar>
              <w:top w:w="100" w:type="dxa"/>
              <w:left w:w="100" w:type="dxa"/>
              <w:bottom w:w="100" w:type="dxa"/>
              <w:right w:w="100" w:type="dxa"/>
            </w:tcMar>
          </w:tcPr>
          <w:p w14:paraId="61338136"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w:t>
            </w:r>
          </w:p>
        </w:tc>
        <w:tc>
          <w:tcPr>
            <w:tcW w:w="761" w:type="dxa"/>
            <w:shd w:val="clear" w:color="auto" w:fill="B7B7B7"/>
            <w:tcMar>
              <w:top w:w="100" w:type="dxa"/>
              <w:left w:w="100" w:type="dxa"/>
              <w:bottom w:w="100" w:type="dxa"/>
              <w:right w:w="100" w:type="dxa"/>
            </w:tcMar>
          </w:tcPr>
          <w:p w14:paraId="0FF0E610"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w:t>
            </w:r>
          </w:p>
        </w:tc>
        <w:tc>
          <w:tcPr>
            <w:tcW w:w="761" w:type="dxa"/>
            <w:shd w:val="clear" w:color="auto" w:fill="B7B7B7"/>
            <w:tcMar>
              <w:top w:w="100" w:type="dxa"/>
              <w:left w:w="100" w:type="dxa"/>
              <w:bottom w:w="100" w:type="dxa"/>
              <w:right w:w="100" w:type="dxa"/>
            </w:tcMar>
          </w:tcPr>
          <w:p w14:paraId="27B6A771"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6</w:t>
            </w:r>
          </w:p>
        </w:tc>
        <w:tc>
          <w:tcPr>
            <w:tcW w:w="760" w:type="dxa"/>
            <w:shd w:val="clear" w:color="auto" w:fill="B7B7B7"/>
            <w:tcMar>
              <w:top w:w="100" w:type="dxa"/>
              <w:left w:w="100" w:type="dxa"/>
              <w:bottom w:w="100" w:type="dxa"/>
              <w:right w:w="100" w:type="dxa"/>
            </w:tcMar>
          </w:tcPr>
          <w:p w14:paraId="2542534C"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7</w:t>
            </w:r>
          </w:p>
        </w:tc>
        <w:tc>
          <w:tcPr>
            <w:tcW w:w="761" w:type="dxa"/>
            <w:shd w:val="clear" w:color="auto" w:fill="B7B7B7"/>
            <w:tcMar>
              <w:top w:w="100" w:type="dxa"/>
              <w:left w:w="100" w:type="dxa"/>
              <w:bottom w:w="100" w:type="dxa"/>
              <w:right w:w="100" w:type="dxa"/>
            </w:tcMar>
          </w:tcPr>
          <w:p w14:paraId="7C825BC1"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8</w:t>
            </w:r>
          </w:p>
        </w:tc>
        <w:tc>
          <w:tcPr>
            <w:tcW w:w="761" w:type="dxa"/>
            <w:shd w:val="clear" w:color="auto" w:fill="B7B7B7"/>
            <w:tcMar>
              <w:top w:w="100" w:type="dxa"/>
              <w:left w:w="100" w:type="dxa"/>
              <w:bottom w:w="100" w:type="dxa"/>
              <w:right w:w="100" w:type="dxa"/>
            </w:tcMar>
          </w:tcPr>
          <w:p w14:paraId="3006F074"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9</w:t>
            </w:r>
          </w:p>
        </w:tc>
        <w:tc>
          <w:tcPr>
            <w:tcW w:w="760" w:type="dxa"/>
            <w:shd w:val="clear" w:color="auto" w:fill="B7B7B7"/>
            <w:tcMar>
              <w:top w:w="100" w:type="dxa"/>
              <w:left w:w="100" w:type="dxa"/>
              <w:bottom w:w="100" w:type="dxa"/>
              <w:right w:w="100" w:type="dxa"/>
            </w:tcMar>
          </w:tcPr>
          <w:p w14:paraId="15435701"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10</w:t>
            </w:r>
          </w:p>
        </w:tc>
        <w:tc>
          <w:tcPr>
            <w:tcW w:w="761" w:type="dxa"/>
            <w:shd w:val="clear" w:color="auto" w:fill="B7B7B7"/>
            <w:tcMar>
              <w:top w:w="100" w:type="dxa"/>
              <w:left w:w="100" w:type="dxa"/>
              <w:bottom w:w="100" w:type="dxa"/>
              <w:right w:w="100" w:type="dxa"/>
            </w:tcMar>
          </w:tcPr>
          <w:p w14:paraId="536D7211"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11</w:t>
            </w:r>
          </w:p>
        </w:tc>
        <w:tc>
          <w:tcPr>
            <w:tcW w:w="761" w:type="dxa"/>
            <w:shd w:val="clear" w:color="auto" w:fill="B7B7B7"/>
            <w:tcMar>
              <w:top w:w="100" w:type="dxa"/>
              <w:left w:w="100" w:type="dxa"/>
              <w:bottom w:w="100" w:type="dxa"/>
              <w:right w:w="100" w:type="dxa"/>
            </w:tcMar>
          </w:tcPr>
          <w:p w14:paraId="28BDD290"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w:t>
            </w:r>
          </w:p>
        </w:tc>
        <w:tc>
          <w:tcPr>
            <w:tcW w:w="760" w:type="dxa"/>
            <w:shd w:val="clear" w:color="auto" w:fill="B7B7B7"/>
            <w:tcMar>
              <w:top w:w="100" w:type="dxa"/>
              <w:left w:w="100" w:type="dxa"/>
              <w:bottom w:w="100" w:type="dxa"/>
              <w:right w:w="100" w:type="dxa"/>
            </w:tcMar>
          </w:tcPr>
          <w:p w14:paraId="1543B6BB"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w:t>
            </w:r>
          </w:p>
        </w:tc>
        <w:tc>
          <w:tcPr>
            <w:tcW w:w="761" w:type="dxa"/>
            <w:shd w:val="clear" w:color="auto" w:fill="B7B7B7"/>
            <w:tcMar>
              <w:top w:w="100" w:type="dxa"/>
              <w:left w:w="100" w:type="dxa"/>
              <w:bottom w:w="100" w:type="dxa"/>
              <w:right w:w="100" w:type="dxa"/>
            </w:tcMar>
          </w:tcPr>
          <w:p w14:paraId="61C5E44C"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14</w:t>
            </w:r>
          </w:p>
        </w:tc>
        <w:tc>
          <w:tcPr>
            <w:tcW w:w="761" w:type="dxa"/>
            <w:shd w:val="clear" w:color="auto" w:fill="B7B7B7"/>
            <w:tcMar>
              <w:top w:w="100" w:type="dxa"/>
              <w:left w:w="100" w:type="dxa"/>
              <w:bottom w:w="100" w:type="dxa"/>
              <w:right w:w="100" w:type="dxa"/>
            </w:tcMar>
          </w:tcPr>
          <w:p w14:paraId="7FD41292"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15</w:t>
            </w:r>
          </w:p>
        </w:tc>
        <w:tc>
          <w:tcPr>
            <w:tcW w:w="761" w:type="dxa"/>
            <w:shd w:val="clear" w:color="auto" w:fill="B7B7B7"/>
          </w:tcPr>
          <w:p w14:paraId="05D95883"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16</w:t>
            </w:r>
          </w:p>
        </w:tc>
      </w:tr>
      <w:tr w:rsidR="00D401A7" w14:paraId="4D0F6A74" w14:textId="77777777">
        <w:tc>
          <w:tcPr>
            <w:tcW w:w="3072" w:type="dxa"/>
            <w:shd w:val="clear" w:color="auto" w:fill="auto"/>
            <w:tcMar>
              <w:top w:w="100" w:type="dxa"/>
              <w:left w:w="100" w:type="dxa"/>
              <w:bottom w:w="100" w:type="dxa"/>
              <w:right w:w="100" w:type="dxa"/>
            </w:tcMar>
          </w:tcPr>
          <w:p w14:paraId="7A37FDC1"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Systematic review/ meta-analysis of randomized controlled trials</w:t>
            </w:r>
          </w:p>
        </w:tc>
        <w:tc>
          <w:tcPr>
            <w:tcW w:w="760" w:type="dxa"/>
            <w:shd w:val="clear" w:color="auto" w:fill="auto"/>
            <w:tcMar>
              <w:top w:w="100" w:type="dxa"/>
              <w:left w:w="100" w:type="dxa"/>
              <w:bottom w:w="100" w:type="dxa"/>
              <w:right w:w="100" w:type="dxa"/>
            </w:tcMar>
          </w:tcPr>
          <w:p w14:paraId="510EDB0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1F4CC5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750260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08CFE77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AF04D1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FC9A14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53BFBC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937C25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B2829E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7EDD2F2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666E51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46EF81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0319E8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A9B255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CF3557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tcPr>
          <w:p w14:paraId="3E22832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0AA92485" w14:textId="77777777">
        <w:tc>
          <w:tcPr>
            <w:tcW w:w="3072" w:type="dxa"/>
            <w:shd w:val="clear" w:color="auto" w:fill="auto"/>
            <w:tcMar>
              <w:top w:w="100" w:type="dxa"/>
              <w:left w:w="100" w:type="dxa"/>
              <w:bottom w:w="100" w:type="dxa"/>
              <w:right w:w="100" w:type="dxa"/>
            </w:tcMar>
          </w:tcPr>
          <w:p w14:paraId="6373CFD0"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Singe randomized controlled trial</w:t>
            </w:r>
          </w:p>
        </w:tc>
        <w:tc>
          <w:tcPr>
            <w:tcW w:w="760" w:type="dxa"/>
            <w:shd w:val="clear" w:color="auto" w:fill="auto"/>
            <w:tcMar>
              <w:top w:w="100" w:type="dxa"/>
              <w:left w:w="100" w:type="dxa"/>
              <w:bottom w:w="100" w:type="dxa"/>
              <w:right w:w="100" w:type="dxa"/>
            </w:tcMar>
          </w:tcPr>
          <w:p w14:paraId="6CF83913"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09B277E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EAF99D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1AD7F4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7F9C80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47A7AB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39C2D31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227EE1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0E4F98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7B45E42B"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34F4FF0"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54BA9004"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1433BD8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FFA8FE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A6E682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tcPr>
          <w:p w14:paraId="289F847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482C7424" w14:textId="77777777">
        <w:tc>
          <w:tcPr>
            <w:tcW w:w="3072" w:type="dxa"/>
            <w:shd w:val="clear" w:color="auto" w:fill="auto"/>
            <w:tcMar>
              <w:top w:w="100" w:type="dxa"/>
              <w:left w:w="100" w:type="dxa"/>
              <w:bottom w:w="100" w:type="dxa"/>
              <w:right w:w="100" w:type="dxa"/>
            </w:tcMar>
          </w:tcPr>
          <w:p w14:paraId="15EAB5A5"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Quasi-experimental studies/ nonrandomized controlled trials</w:t>
            </w:r>
          </w:p>
        </w:tc>
        <w:tc>
          <w:tcPr>
            <w:tcW w:w="760" w:type="dxa"/>
            <w:shd w:val="clear" w:color="auto" w:fill="auto"/>
            <w:tcMar>
              <w:top w:w="100" w:type="dxa"/>
              <w:left w:w="100" w:type="dxa"/>
              <w:bottom w:w="100" w:type="dxa"/>
              <w:right w:w="100" w:type="dxa"/>
            </w:tcMar>
          </w:tcPr>
          <w:p w14:paraId="68473EA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03C547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581C028"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0DB5B7B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F54D03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3C418A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4F1CC1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B2FE5B3"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578BDF3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BFF1CF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508183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295A49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1D7E7BB"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2E1D795"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0D18697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tcPr>
          <w:p w14:paraId="7C93ABA3"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r>
      <w:tr w:rsidR="00D401A7" w14:paraId="58070314" w14:textId="77777777">
        <w:tc>
          <w:tcPr>
            <w:tcW w:w="3072" w:type="dxa"/>
            <w:shd w:val="clear" w:color="auto" w:fill="auto"/>
            <w:tcMar>
              <w:top w:w="100" w:type="dxa"/>
              <w:left w:w="100" w:type="dxa"/>
              <w:bottom w:w="100" w:type="dxa"/>
              <w:right w:w="100" w:type="dxa"/>
            </w:tcMar>
          </w:tcPr>
          <w:p w14:paraId="6C706084"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Cohort or case-control studies</w:t>
            </w:r>
          </w:p>
        </w:tc>
        <w:tc>
          <w:tcPr>
            <w:tcW w:w="760" w:type="dxa"/>
            <w:shd w:val="clear" w:color="auto" w:fill="auto"/>
            <w:tcMar>
              <w:top w:w="100" w:type="dxa"/>
              <w:left w:w="100" w:type="dxa"/>
              <w:bottom w:w="100" w:type="dxa"/>
              <w:right w:w="100" w:type="dxa"/>
            </w:tcMar>
          </w:tcPr>
          <w:p w14:paraId="2E33A72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EA17A0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3D37B7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333858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A965FF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5EC4AF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3505B7F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76F08F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9B8F40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077799A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24D4F1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AE0EA0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617E9D8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16E2A7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A60230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tcPr>
          <w:p w14:paraId="252D5AF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60C012BF" w14:textId="77777777">
        <w:tc>
          <w:tcPr>
            <w:tcW w:w="3072" w:type="dxa"/>
            <w:shd w:val="clear" w:color="auto" w:fill="auto"/>
            <w:tcMar>
              <w:top w:w="100" w:type="dxa"/>
              <w:left w:w="100" w:type="dxa"/>
              <w:bottom w:w="100" w:type="dxa"/>
              <w:right w:w="100" w:type="dxa"/>
            </w:tcMar>
          </w:tcPr>
          <w:p w14:paraId="200DF833"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Systematic review/ meta-synthesis of qualitative studies</w:t>
            </w:r>
          </w:p>
        </w:tc>
        <w:tc>
          <w:tcPr>
            <w:tcW w:w="760" w:type="dxa"/>
            <w:shd w:val="clear" w:color="auto" w:fill="auto"/>
            <w:tcMar>
              <w:top w:w="100" w:type="dxa"/>
              <w:left w:w="100" w:type="dxa"/>
              <w:bottom w:w="100" w:type="dxa"/>
              <w:right w:w="100" w:type="dxa"/>
            </w:tcMar>
          </w:tcPr>
          <w:p w14:paraId="52F77F8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BE3AD4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87ADA0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C0B0D9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F154BE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F0D7B9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34A285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EF97F9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49FDD3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3F5F393"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2D8E268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168872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62166811"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10A3402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1E0C1D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tcPr>
          <w:p w14:paraId="0678BB8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316C6597" w14:textId="77777777">
        <w:tc>
          <w:tcPr>
            <w:tcW w:w="3072" w:type="dxa"/>
            <w:shd w:val="clear" w:color="auto" w:fill="auto"/>
            <w:tcMar>
              <w:top w:w="100" w:type="dxa"/>
              <w:left w:w="100" w:type="dxa"/>
              <w:bottom w:w="100" w:type="dxa"/>
              <w:right w:w="100" w:type="dxa"/>
            </w:tcMar>
          </w:tcPr>
          <w:p w14:paraId="439C1343"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Single qualitative or descriptive studies/ evidence implementation and quality improvement</w:t>
            </w:r>
          </w:p>
        </w:tc>
        <w:tc>
          <w:tcPr>
            <w:tcW w:w="760" w:type="dxa"/>
            <w:shd w:val="clear" w:color="auto" w:fill="auto"/>
            <w:tcMar>
              <w:top w:w="100" w:type="dxa"/>
              <w:left w:w="100" w:type="dxa"/>
              <w:bottom w:w="100" w:type="dxa"/>
              <w:right w:w="100" w:type="dxa"/>
            </w:tcMar>
          </w:tcPr>
          <w:p w14:paraId="559BBE1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2D76C04"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2D57A72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16B35004"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781177AD"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512919F6"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30D5E4C9"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18B6B48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437AFA0"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5759632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B3D4A0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94CA76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CBE3C1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913D78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9405772"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tcPr>
          <w:p w14:paraId="24677E7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72E071DB" w14:textId="77777777">
        <w:tc>
          <w:tcPr>
            <w:tcW w:w="3072" w:type="dxa"/>
            <w:shd w:val="clear" w:color="auto" w:fill="auto"/>
            <w:tcMar>
              <w:top w:w="100" w:type="dxa"/>
              <w:left w:w="100" w:type="dxa"/>
              <w:bottom w:w="100" w:type="dxa"/>
              <w:right w:w="100" w:type="dxa"/>
            </w:tcMar>
          </w:tcPr>
          <w:p w14:paraId="26822614"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Expert opinion</w:t>
            </w:r>
          </w:p>
        </w:tc>
        <w:tc>
          <w:tcPr>
            <w:tcW w:w="760" w:type="dxa"/>
            <w:shd w:val="clear" w:color="auto" w:fill="auto"/>
            <w:tcMar>
              <w:top w:w="100" w:type="dxa"/>
              <w:left w:w="100" w:type="dxa"/>
              <w:bottom w:w="100" w:type="dxa"/>
              <w:right w:w="100" w:type="dxa"/>
            </w:tcMar>
          </w:tcPr>
          <w:p w14:paraId="69FB870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1783FD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D35A6D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7E4F806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AFE66A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CB60AF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0ECE57FB"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D11F3E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4C6B5D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663AD98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AB8543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C833D4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1D1FC3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FC6CC9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8A460B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tcPr>
          <w:p w14:paraId="351E9FA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bl>
    <w:p w14:paraId="277CDFBD" w14:textId="77777777" w:rsidR="00D401A7" w:rsidRDefault="00D401A7">
      <w:pPr>
        <w:ind w:left="-1080" w:right="-1170"/>
        <w:rPr>
          <w:rFonts w:ascii="Times New Roman" w:eastAsia="Times New Roman" w:hAnsi="Times New Roman" w:cs="Times New Roman"/>
          <w:sz w:val="24"/>
          <w:szCs w:val="24"/>
        </w:rPr>
      </w:pPr>
    </w:p>
    <w:p w14:paraId="7CA00ED4" w14:textId="77777777" w:rsidR="00D401A7" w:rsidRDefault="00D401A7">
      <w:pPr>
        <w:ind w:left="-1080" w:right="-1170"/>
        <w:rPr>
          <w:rFonts w:ascii="Times New Roman" w:eastAsia="Times New Roman" w:hAnsi="Times New Roman" w:cs="Times New Roman"/>
          <w:b/>
          <w:sz w:val="24"/>
          <w:szCs w:val="24"/>
        </w:rPr>
      </w:pPr>
    </w:p>
    <w:p w14:paraId="2365CB8F" w14:textId="77777777" w:rsidR="00D401A7" w:rsidRDefault="00D401A7">
      <w:pPr>
        <w:ind w:left="-1080" w:right="-1170"/>
        <w:rPr>
          <w:rFonts w:ascii="Times New Roman" w:eastAsia="Times New Roman" w:hAnsi="Times New Roman" w:cs="Times New Roman"/>
          <w:b/>
          <w:sz w:val="24"/>
          <w:szCs w:val="24"/>
        </w:rPr>
      </w:pPr>
    </w:p>
    <w:p w14:paraId="133F0033" w14:textId="77777777" w:rsidR="00D401A7" w:rsidRDefault="00D401A7">
      <w:pPr>
        <w:ind w:left="-1080" w:right="-1170"/>
        <w:rPr>
          <w:rFonts w:ascii="Times New Roman" w:eastAsia="Times New Roman" w:hAnsi="Times New Roman" w:cs="Times New Roman"/>
          <w:b/>
          <w:sz w:val="24"/>
          <w:szCs w:val="24"/>
        </w:rPr>
      </w:pPr>
    </w:p>
    <w:p w14:paraId="72F7506F" w14:textId="77777777" w:rsidR="00D401A7" w:rsidRDefault="00D401A7">
      <w:pPr>
        <w:ind w:left="-1080" w:right="-1170"/>
        <w:rPr>
          <w:rFonts w:ascii="Times New Roman" w:eastAsia="Times New Roman" w:hAnsi="Times New Roman" w:cs="Times New Roman"/>
          <w:b/>
          <w:sz w:val="24"/>
          <w:szCs w:val="24"/>
        </w:rPr>
      </w:pPr>
    </w:p>
    <w:p w14:paraId="14D59D1A" w14:textId="77777777" w:rsidR="00D401A7" w:rsidRDefault="00D401A7">
      <w:pPr>
        <w:ind w:left="-1080" w:right="-1170"/>
        <w:rPr>
          <w:rFonts w:ascii="Times New Roman" w:eastAsia="Times New Roman" w:hAnsi="Times New Roman" w:cs="Times New Roman"/>
          <w:sz w:val="24"/>
          <w:szCs w:val="24"/>
        </w:rPr>
      </w:pPr>
    </w:p>
    <w:tbl>
      <w:tblPr>
        <w:tblStyle w:val="affff1"/>
        <w:tblW w:w="14481" w:type="dxa"/>
        <w:tblInd w:w="-1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1"/>
        <w:gridCol w:w="760"/>
        <w:gridCol w:w="761"/>
        <w:gridCol w:w="761"/>
        <w:gridCol w:w="760"/>
        <w:gridCol w:w="761"/>
        <w:gridCol w:w="761"/>
        <w:gridCol w:w="760"/>
        <w:gridCol w:w="761"/>
        <w:gridCol w:w="761"/>
        <w:gridCol w:w="760"/>
        <w:gridCol w:w="761"/>
        <w:gridCol w:w="761"/>
        <w:gridCol w:w="760"/>
        <w:gridCol w:w="761"/>
        <w:gridCol w:w="761"/>
      </w:tblGrid>
      <w:tr w:rsidR="00D401A7" w14:paraId="5EB6DE3B" w14:textId="77777777">
        <w:trPr>
          <w:trHeight w:val="675"/>
        </w:trPr>
        <w:tc>
          <w:tcPr>
            <w:tcW w:w="3072" w:type="dxa"/>
            <w:shd w:val="clear" w:color="auto" w:fill="B7B7B7"/>
            <w:tcMar>
              <w:top w:w="100" w:type="dxa"/>
              <w:left w:w="100" w:type="dxa"/>
              <w:bottom w:w="100" w:type="dxa"/>
              <w:right w:w="100" w:type="dxa"/>
            </w:tcMar>
          </w:tcPr>
          <w:p w14:paraId="61F89BC6"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lastRenderedPageBreak/>
              <w:t>Level of Evidence</w:t>
            </w:r>
          </w:p>
        </w:tc>
        <w:tc>
          <w:tcPr>
            <w:tcW w:w="760" w:type="dxa"/>
            <w:shd w:val="clear" w:color="auto" w:fill="B7B7B7"/>
            <w:tcMar>
              <w:top w:w="100" w:type="dxa"/>
              <w:left w:w="100" w:type="dxa"/>
              <w:bottom w:w="100" w:type="dxa"/>
              <w:right w:w="100" w:type="dxa"/>
            </w:tcMar>
          </w:tcPr>
          <w:p w14:paraId="197CF703"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17</w:t>
            </w:r>
          </w:p>
        </w:tc>
        <w:tc>
          <w:tcPr>
            <w:tcW w:w="761" w:type="dxa"/>
            <w:shd w:val="clear" w:color="auto" w:fill="B7B7B7"/>
            <w:tcMar>
              <w:top w:w="100" w:type="dxa"/>
              <w:left w:w="100" w:type="dxa"/>
              <w:bottom w:w="100" w:type="dxa"/>
              <w:right w:w="100" w:type="dxa"/>
            </w:tcMar>
          </w:tcPr>
          <w:p w14:paraId="6A1D0022"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18</w:t>
            </w:r>
          </w:p>
        </w:tc>
        <w:tc>
          <w:tcPr>
            <w:tcW w:w="761" w:type="dxa"/>
            <w:shd w:val="clear" w:color="auto" w:fill="B7B7B7"/>
            <w:tcMar>
              <w:top w:w="100" w:type="dxa"/>
              <w:left w:w="100" w:type="dxa"/>
              <w:bottom w:w="100" w:type="dxa"/>
              <w:right w:w="100" w:type="dxa"/>
            </w:tcMar>
          </w:tcPr>
          <w:p w14:paraId="759B1494"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19</w:t>
            </w:r>
          </w:p>
        </w:tc>
        <w:tc>
          <w:tcPr>
            <w:tcW w:w="760" w:type="dxa"/>
            <w:shd w:val="clear" w:color="auto" w:fill="B7B7B7"/>
            <w:tcMar>
              <w:top w:w="100" w:type="dxa"/>
              <w:left w:w="100" w:type="dxa"/>
              <w:bottom w:w="100" w:type="dxa"/>
              <w:right w:w="100" w:type="dxa"/>
            </w:tcMar>
          </w:tcPr>
          <w:p w14:paraId="5971781C"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20</w:t>
            </w:r>
          </w:p>
        </w:tc>
        <w:tc>
          <w:tcPr>
            <w:tcW w:w="761" w:type="dxa"/>
            <w:shd w:val="clear" w:color="auto" w:fill="B7B7B7"/>
            <w:tcMar>
              <w:top w:w="100" w:type="dxa"/>
              <w:left w:w="100" w:type="dxa"/>
              <w:bottom w:w="100" w:type="dxa"/>
              <w:right w:w="100" w:type="dxa"/>
            </w:tcMar>
          </w:tcPr>
          <w:p w14:paraId="7119BE3C"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21</w:t>
            </w:r>
          </w:p>
        </w:tc>
        <w:tc>
          <w:tcPr>
            <w:tcW w:w="761" w:type="dxa"/>
            <w:shd w:val="clear" w:color="auto" w:fill="B7B7B7"/>
            <w:tcMar>
              <w:top w:w="100" w:type="dxa"/>
              <w:left w:w="100" w:type="dxa"/>
              <w:bottom w:w="100" w:type="dxa"/>
              <w:right w:w="100" w:type="dxa"/>
            </w:tcMar>
          </w:tcPr>
          <w:p w14:paraId="03A3EB80"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22</w:t>
            </w:r>
          </w:p>
        </w:tc>
        <w:tc>
          <w:tcPr>
            <w:tcW w:w="760" w:type="dxa"/>
            <w:shd w:val="clear" w:color="auto" w:fill="B7B7B7"/>
            <w:tcMar>
              <w:top w:w="100" w:type="dxa"/>
              <w:left w:w="100" w:type="dxa"/>
              <w:bottom w:w="100" w:type="dxa"/>
              <w:right w:w="100" w:type="dxa"/>
            </w:tcMar>
          </w:tcPr>
          <w:p w14:paraId="428E4FF6"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23</w:t>
            </w:r>
          </w:p>
        </w:tc>
        <w:tc>
          <w:tcPr>
            <w:tcW w:w="761" w:type="dxa"/>
            <w:shd w:val="clear" w:color="auto" w:fill="B7B7B7"/>
            <w:tcMar>
              <w:top w:w="100" w:type="dxa"/>
              <w:left w:w="100" w:type="dxa"/>
              <w:bottom w:w="100" w:type="dxa"/>
              <w:right w:w="100" w:type="dxa"/>
            </w:tcMar>
          </w:tcPr>
          <w:p w14:paraId="689E6EA0"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24</w:t>
            </w:r>
          </w:p>
        </w:tc>
        <w:tc>
          <w:tcPr>
            <w:tcW w:w="761" w:type="dxa"/>
            <w:shd w:val="clear" w:color="auto" w:fill="B7B7B7"/>
            <w:tcMar>
              <w:top w:w="100" w:type="dxa"/>
              <w:left w:w="100" w:type="dxa"/>
              <w:bottom w:w="100" w:type="dxa"/>
              <w:right w:w="100" w:type="dxa"/>
            </w:tcMar>
          </w:tcPr>
          <w:p w14:paraId="2106DD4C"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25</w:t>
            </w:r>
          </w:p>
        </w:tc>
        <w:tc>
          <w:tcPr>
            <w:tcW w:w="760" w:type="dxa"/>
            <w:shd w:val="clear" w:color="auto" w:fill="B7B7B7"/>
            <w:tcMar>
              <w:top w:w="100" w:type="dxa"/>
              <w:left w:w="100" w:type="dxa"/>
              <w:bottom w:w="100" w:type="dxa"/>
              <w:right w:w="100" w:type="dxa"/>
            </w:tcMar>
          </w:tcPr>
          <w:p w14:paraId="1F64790A"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26</w:t>
            </w:r>
          </w:p>
        </w:tc>
        <w:tc>
          <w:tcPr>
            <w:tcW w:w="761" w:type="dxa"/>
            <w:shd w:val="clear" w:color="auto" w:fill="B7B7B7"/>
            <w:tcMar>
              <w:top w:w="100" w:type="dxa"/>
              <w:left w:w="100" w:type="dxa"/>
              <w:bottom w:w="100" w:type="dxa"/>
              <w:right w:w="100" w:type="dxa"/>
            </w:tcMar>
          </w:tcPr>
          <w:p w14:paraId="6C843299"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27</w:t>
            </w:r>
          </w:p>
        </w:tc>
        <w:tc>
          <w:tcPr>
            <w:tcW w:w="761" w:type="dxa"/>
            <w:shd w:val="clear" w:color="auto" w:fill="B7B7B7"/>
            <w:tcMar>
              <w:top w:w="100" w:type="dxa"/>
              <w:left w:w="100" w:type="dxa"/>
              <w:bottom w:w="100" w:type="dxa"/>
              <w:right w:w="100" w:type="dxa"/>
            </w:tcMar>
          </w:tcPr>
          <w:p w14:paraId="2695F9BD"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28</w:t>
            </w:r>
          </w:p>
        </w:tc>
        <w:tc>
          <w:tcPr>
            <w:tcW w:w="760" w:type="dxa"/>
            <w:shd w:val="clear" w:color="auto" w:fill="B7B7B7"/>
            <w:tcMar>
              <w:top w:w="100" w:type="dxa"/>
              <w:left w:w="100" w:type="dxa"/>
              <w:bottom w:w="100" w:type="dxa"/>
              <w:right w:w="100" w:type="dxa"/>
            </w:tcMar>
          </w:tcPr>
          <w:p w14:paraId="629A9FB3"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29</w:t>
            </w:r>
          </w:p>
        </w:tc>
        <w:tc>
          <w:tcPr>
            <w:tcW w:w="761" w:type="dxa"/>
            <w:shd w:val="clear" w:color="auto" w:fill="B7B7B7"/>
            <w:tcMar>
              <w:top w:w="100" w:type="dxa"/>
              <w:left w:w="100" w:type="dxa"/>
              <w:bottom w:w="100" w:type="dxa"/>
              <w:right w:w="100" w:type="dxa"/>
            </w:tcMar>
          </w:tcPr>
          <w:p w14:paraId="60ED8046"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30</w:t>
            </w:r>
          </w:p>
        </w:tc>
        <w:tc>
          <w:tcPr>
            <w:tcW w:w="761" w:type="dxa"/>
            <w:shd w:val="clear" w:color="auto" w:fill="B7B7B7"/>
            <w:tcMar>
              <w:top w:w="100" w:type="dxa"/>
              <w:left w:w="100" w:type="dxa"/>
              <w:bottom w:w="100" w:type="dxa"/>
              <w:right w:w="100" w:type="dxa"/>
            </w:tcMar>
          </w:tcPr>
          <w:p w14:paraId="125EED00"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w:t>
            </w:r>
          </w:p>
        </w:tc>
      </w:tr>
      <w:tr w:rsidR="00D401A7" w14:paraId="574CD010" w14:textId="77777777">
        <w:tc>
          <w:tcPr>
            <w:tcW w:w="3072" w:type="dxa"/>
            <w:shd w:val="clear" w:color="auto" w:fill="auto"/>
            <w:tcMar>
              <w:top w:w="100" w:type="dxa"/>
              <w:left w:w="100" w:type="dxa"/>
              <w:bottom w:w="100" w:type="dxa"/>
              <w:right w:w="100" w:type="dxa"/>
            </w:tcMar>
          </w:tcPr>
          <w:p w14:paraId="28787758"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Systematic review/ meta-analysis of randomized controlled trials</w:t>
            </w:r>
          </w:p>
        </w:tc>
        <w:tc>
          <w:tcPr>
            <w:tcW w:w="760" w:type="dxa"/>
            <w:shd w:val="clear" w:color="auto" w:fill="auto"/>
            <w:tcMar>
              <w:top w:w="100" w:type="dxa"/>
              <w:left w:w="100" w:type="dxa"/>
              <w:bottom w:w="100" w:type="dxa"/>
              <w:right w:w="100" w:type="dxa"/>
            </w:tcMar>
          </w:tcPr>
          <w:p w14:paraId="308732C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DB2CA0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EFDB6C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658CAC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76804C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C8BB03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5F30B3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802E8E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2AE5D5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163F575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705F60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ABB389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B76C37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636429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AA56CD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6B41B8B9" w14:textId="77777777">
        <w:tc>
          <w:tcPr>
            <w:tcW w:w="3072" w:type="dxa"/>
            <w:shd w:val="clear" w:color="auto" w:fill="auto"/>
            <w:tcMar>
              <w:top w:w="100" w:type="dxa"/>
              <w:left w:w="100" w:type="dxa"/>
              <w:bottom w:w="100" w:type="dxa"/>
              <w:right w:w="100" w:type="dxa"/>
            </w:tcMar>
          </w:tcPr>
          <w:p w14:paraId="38D6E7DB"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Singe randomized controlled trial</w:t>
            </w:r>
          </w:p>
        </w:tc>
        <w:tc>
          <w:tcPr>
            <w:tcW w:w="760" w:type="dxa"/>
            <w:shd w:val="clear" w:color="auto" w:fill="auto"/>
            <w:tcMar>
              <w:top w:w="100" w:type="dxa"/>
              <w:left w:w="100" w:type="dxa"/>
              <w:bottom w:w="100" w:type="dxa"/>
              <w:right w:w="100" w:type="dxa"/>
            </w:tcMar>
          </w:tcPr>
          <w:p w14:paraId="2789819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13C7CA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887F35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28FC33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0414165"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0276717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14EAED45"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139D352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10CF5C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393DC09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113216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5F5222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82BA1F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CF21165"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7D92292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09A9489F" w14:textId="77777777">
        <w:tc>
          <w:tcPr>
            <w:tcW w:w="3072" w:type="dxa"/>
            <w:shd w:val="clear" w:color="auto" w:fill="auto"/>
            <w:tcMar>
              <w:top w:w="100" w:type="dxa"/>
              <w:left w:w="100" w:type="dxa"/>
              <w:bottom w:w="100" w:type="dxa"/>
              <w:right w:w="100" w:type="dxa"/>
            </w:tcMar>
          </w:tcPr>
          <w:p w14:paraId="53587F47"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Quasi-experimental studies/ nonrandomized controlled trials</w:t>
            </w:r>
          </w:p>
        </w:tc>
        <w:tc>
          <w:tcPr>
            <w:tcW w:w="760" w:type="dxa"/>
            <w:shd w:val="clear" w:color="auto" w:fill="auto"/>
            <w:tcMar>
              <w:top w:w="100" w:type="dxa"/>
              <w:left w:w="100" w:type="dxa"/>
              <w:bottom w:w="100" w:type="dxa"/>
              <w:right w:w="100" w:type="dxa"/>
            </w:tcMar>
          </w:tcPr>
          <w:p w14:paraId="05179A3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58303A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E2FB37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704FD6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57A271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A3A92EB"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14231AF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1CF18AE"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20F28A9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13BC030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ECDB9AE"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25590548"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632C500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6080C1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DC3BFF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73866654" w14:textId="77777777">
        <w:tc>
          <w:tcPr>
            <w:tcW w:w="3072" w:type="dxa"/>
            <w:shd w:val="clear" w:color="auto" w:fill="auto"/>
            <w:tcMar>
              <w:top w:w="100" w:type="dxa"/>
              <w:left w:w="100" w:type="dxa"/>
              <w:bottom w:w="100" w:type="dxa"/>
              <w:right w:w="100" w:type="dxa"/>
            </w:tcMar>
          </w:tcPr>
          <w:p w14:paraId="3E53AB0B"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Cohort or case-control studies</w:t>
            </w:r>
          </w:p>
        </w:tc>
        <w:tc>
          <w:tcPr>
            <w:tcW w:w="760" w:type="dxa"/>
            <w:shd w:val="clear" w:color="auto" w:fill="auto"/>
            <w:tcMar>
              <w:top w:w="100" w:type="dxa"/>
              <w:left w:w="100" w:type="dxa"/>
              <w:bottom w:w="100" w:type="dxa"/>
              <w:right w:w="100" w:type="dxa"/>
            </w:tcMar>
          </w:tcPr>
          <w:p w14:paraId="2AD5901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E0502E4"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014CC471"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7918CDD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79D59B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A87B81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3AE38C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DC5E06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B3F61C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4997FC1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6AFF47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7429D2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1948B4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AB125DF"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906C37D"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2A4C1D20" w14:textId="77777777">
        <w:tc>
          <w:tcPr>
            <w:tcW w:w="3072" w:type="dxa"/>
            <w:shd w:val="clear" w:color="auto" w:fill="auto"/>
            <w:tcMar>
              <w:top w:w="100" w:type="dxa"/>
              <w:left w:w="100" w:type="dxa"/>
              <w:bottom w:w="100" w:type="dxa"/>
              <w:right w:w="100" w:type="dxa"/>
            </w:tcMar>
          </w:tcPr>
          <w:p w14:paraId="06108F24"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Systematic review/ meta-synthesis of qualitative studies</w:t>
            </w:r>
          </w:p>
        </w:tc>
        <w:tc>
          <w:tcPr>
            <w:tcW w:w="760" w:type="dxa"/>
            <w:shd w:val="clear" w:color="auto" w:fill="auto"/>
            <w:tcMar>
              <w:top w:w="100" w:type="dxa"/>
              <w:left w:w="100" w:type="dxa"/>
              <w:bottom w:w="100" w:type="dxa"/>
              <w:right w:w="100" w:type="dxa"/>
            </w:tcMar>
          </w:tcPr>
          <w:p w14:paraId="44501DD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09578B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14462B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078AD6D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46125A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DEEB4A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5994AEF3"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808830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997B32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0BC1CD6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4F2565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7FE6301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3CD024A5"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81AA7A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19DB596"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r w:rsidR="00D401A7" w14:paraId="62AD1ED7" w14:textId="77777777">
        <w:tc>
          <w:tcPr>
            <w:tcW w:w="3072" w:type="dxa"/>
            <w:shd w:val="clear" w:color="auto" w:fill="auto"/>
            <w:tcMar>
              <w:top w:w="100" w:type="dxa"/>
              <w:left w:w="100" w:type="dxa"/>
              <w:bottom w:w="100" w:type="dxa"/>
              <w:right w:w="100" w:type="dxa"/>
            </w:tcMar>
          </w:tcPr>
          <w:p w14:paraId="4506221A"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Single qualitative or descriptive studies/ evidence implementation and quality improvement</w:t>
            </w:r>
          </w:p>
        </w:tc>
        <w:tc>
          <w:tcPr>
            <w:tcW w:w="760" w:type="dxa"/>
            <w:shd w:val="clear" w:color="auto" w:fill="auto"/>
            <w:tcMar>
              <w:top w:w="100" w:type="dxa"/>
              <w:left w:w="100" w:type="dxa"/>
              <w:bottom w:w="100" w:type="dxa"/>
              <w:right w:w="100" w:type="dxa"/>
            </w:tcMar>
          </w:tcPr>
          <w:p w14:paraId="1757123E"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0263A35A"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37E6A7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63C74EF7"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702D549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1613E0A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139F3E5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5F2856B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9949283"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0" w:type="dxa"/>
            <w:shd w:val="clear" w:color="auto" w:fill="auto"/>
            <w:tcMar>
              <w:top w:w="100" w:type="dxa"/>
              <w:left w:w="100" w:type="dxa"/>
              <w:bottom w:w="100" w:type="dxa"/>
              <w:right w:w="100" w:type="dxa"/>
            </w:tcMar>
          </w:tcPr>
          <w:p w14:paraId="43C57D1D"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0A5D8CF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1F69C61"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CDA003E"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c>
          <w:tcPr>
            <w:tcW w:w="761" w:type="dxa"/>
            <w:shd w:val="clear" w:color="auto" w:fill="auto"/>
            <w:tcMar>
              <w:top w:w="100" w:type="dxa"/>
              <w:left w:w="100" w:type="dxa"/>
              <w:bottom w:w="100" w:type="dxa"/>
              <w:right w:w="100" w:type="dxa"/>
            </w:tcMar>
          </w:tcPr>
          <w:p w14:paraId="42481D8B"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3A24139" w14:textId="77777777" w:rsidR="00D401A7" w:rsidRDefault="00000000">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w:t>
            </w:r>
          </w:p>
        </w:tc>
      </w:tr>
      <w:tr w:rsidR="00D401A7" w14:paraId="3EFAAE1A" w14:textId="77777777">
        <w:tc>
          <w:tcPr>
            <w:tcW w:w="3072" w:type="dxa"/>
            <w:shd w:val="clear" w:color="auto" w:fill="auto"/>
            <w:tcMar>
              <w:top w:w="100" w:type="dxa"/>
              <w:left w:w="100" w:type="dxa"/>
              <w:bottom w:w="100" w:type="dxa"/>
              <w:right w:w="100" w:type="dxa"/>
            </w:tcMar>
          </w:tcPr>
          <w:p w14:paraId="268516F7" w14:textId="77777777" w:rsidR="00D401A7"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Expert opinion</w:t>
            </w:r>
          </w:p>
        </w:tc>
        <w:tc>
          <w:tcPr>
            <w:tcW w:w="760" w:type="dxa"/>
            <w:shd w:val="clear" w:color="auto" w:fill="auto"/>
            <w:tcMar>
              <w:top w:w="100" w:type="dxa"/>
              <w:left w:w="100" w:type="dxa"/>
              <w:bottom w:w="100" w:type="dxa"/>
              <w:right w:w="100" w:type="dxa"/>
            </w:tcMar>
          </w:tcPr>
          <w:p w14:paraId="5ACEDB0B"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4CB6229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025AD74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7201640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A676B50"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C8CB5E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2D2B3097"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CF3EA3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46E411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74C4C149"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B37FFDC"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6E5F7BF4"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0" w:type="dxa"/>
            <w:shd w:val="clear" w:color="auto" w:fill="auto"/>
            <w:tcMar>
              <w:top w:w="100" w:type="dxa"/>
              <w:left w:w="100" w:type="dxa"/>
              <w:bottom w:w="100" w:type="dxa"/>
              <w:right w:w="100" w:type="dxa"/>
            </w:tcMar>
          </w:tcPr>
          <w:p w14:paraId="60232218"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3EDFE6A2"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c>
          <w:tcPr>
            <w:tcW w:w="761" w:type="dxa"/>
            <w:shd w:val="clear" w:color="auto" w:fill="auto"/>
            <w:tcMar>
              <w:top w:w="100" w:type="dxa"/>
              <w:left w:w="100" w:type="dxa"/>
              <w:bottom w:w="100" w:type="dxa"/>
              <w:right w:w="100" w:type="dxa"/>
            </w:tcMar>
          </w:tcPr>
          <w:p w14:paraId="2E9FAE9E" w14:textId="77777777" w:rsidR="00D401A7" w:rsidRDefault="00D401A7">
            <w:pPr>
              <w:widowControl w:val="0"/>
              <w:pBdr>
                <w:top w:val="nil"/>
                <w:left w:val="nil"/>
                <w:bottom w:val="nil"/>
                <w:right w:val="nil"/>
                <w:between w:val="nil"/>
              </w:pBdr>
              <w:jc w:val="center"/>
              <w:rPr>
                <w:rFonts w:ascii="Times New Roman" w:eastAsia="Times New Roman" w:hAnsi="Times New Roman" w:cs="Times New Roman"/>
              </w:rPr>
            </w:pPr>
          </w:p>
        </w:tc>
      </w:tr>
    </w:tbl>
    <w:p w14:paraId="31F5F8F5" w14:textId="77777777" w:rsidR="00D401A7" w:rsidRDefault="00D401A7">
      <w:pPr>
        <w:ind w:left="-1080" w:right="-1170"/>
        <w:rPr>
          <w:rFonts w:ascii="Times New Roman" w:eastAsia="Times New Roman" w:hAnsi="Times New Roman" w:cs="Times New Roman"/>
          <w:b/>
          <w:sz w:val="24"/>
          <w:szCs w:val="24"/>
        </w:rPr>
      </w:pPr>
    </w:p>
    <w:p w14:paraId="445C9CDB" w14:textId="77777777" w:rsidR="00D401A7" w:rsidRDefault="00000000">
      <w:pPr>
        <w:ind w:left="-1080" w:right="-1170"/>
        <w:rPr>
          <w:rFonts w:ascii="Times New Roman" w:eastAsia="Times New Roman" w:hAnsi="Times New Roman" w:cs="Times New Roman"/>
          <w:sz w:val="24"/>
          <w:szCs w:val="24"/>
        </w:rPr>
        <w:sectPr w:rsidR="00D401A7">
          <w:pgSz w:w="15840" w:h="12240" w:orient="landscape"/>
          <w:pgMar w:top="1440" w:right="1440" w:bottom="1440" w:left="1440" w:header="720" w:footer="720" w:gutter="0"/>
          <w:cols w:space="720"/>
        </w:sectPr>
      </w:pPr>
      <w:r>
        <w:rPr>
          <w:rFonts w:ascii="Times New Roman" w:eastAsia="Times New Roman" w:hAnsi="Times New Roman" w:cs="Times New Roman"/>
          <w:b/>
          <w:sz w:val="24"/>
          <w:szCs w:val="24"/>
        </w:rPr>
        <w:t>Key:</w:t>
      </w:r>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Aebersold</w:t>
      </w:r>
      <w:proofErr w:type="spellEnd"/>
      <w:r>
        <w:rPr>
          <w:rFonts w:ascii="Times New Roman" w:eastAsia="Times New Roman" w:hAnsi="Times New Roman" w:cs="Times New Roman"/>
          <w:sz w:val="24"/>
          <w:szCs w:val="24"/>
        </w:rPr>
        <w:t xml:space="preserve"> et al., 2018; [2] Ameri et al., 2019; [3] </w:t>
      </w:r>
      <w:proofErr w:type="spellStart"/>
      <w:r>
        <w:rPr>
          <w:rFonts w:ascii="Times New Roman" w:eastAsia="Times New Roman" w:hAnsi="Times New Roman" w:cs="Times New Roman"/>
          <w:sz w:val="24"/>
          <w:szCs w:val="24"/>
        </w:rPr>
        <w:t>Boet</w:t>
      </w:r>
      <w:proofErr w:type="spellEnd"/>
      <w:r>
        <w:rPr>
          <w:rFonts w:ascii="Times New Roman" w:eastAsia="Times New Roman" w:hAnsi="Times New Roman" w:cs="Times New Roman"/>
          <w:sz w:val="24"/>
          <w:szCs w:val="24"/>
        </w:rPr>
        <w:t xml:space="preserve"> et al., 2011; [4] </w:t>
      </w:r>
      <w:proofErr w:type="spellStart"/>
      <w:r>
        <w:rPr>
          <w:rFonts w:ascii="Times New Roman" w:eastAsia="Times New Roman" w:hAnsi="Times New Roman" w:cs="Times New Roman"/>
          <w:sz w:val="24"/>
          <w:szCs w:val="24"/>
        </w:rPr>
        <w:t>Bortman</w:t>
      </w:r>
      <w:proofErr w:type="spellEnd"/>
      <w:r>
        <w:rPr>
          <w:rFonts w:ascii="Times New Roman" w:eastAsia="Times New Roman" w:hAnsi="Times New Roman" w:cs="Times New Roman"/>
          <w:sz w:val="24"/>
          <w:szCs w:val="24"/>
        </w:rPr>
        <w:t xml:space="preserve"> et al., 2019; [5] Briggs et al., 2021; [6] </w:t>
      </w:r>
      <w:proofErr w:type="spellStart"/>
      <w:r>
        <w:rPr>
          <w:rFonts w:ascii="Times New Roman" w:eastAsia="Times New Roman" w:hAnsi="Times New Roman" w:cs="Times New Roman"/>
          <w:sz w:val="24"/>
          <w:szCs w:val="24"/>
        </w:rPr>
        <w:t>Brzozowski</w:t>
      </w:r>
      <w:proofErr w:type="spellEnd"/>
      <w:r>
        <w:rPr>
          <w:rFonts w:ascii="Times New Roman" w:eastAsia="Times New Roman" w:hAnsi="Times New Roman" w:cs="Times New Roman"/>
          <w:sz w:val="24"/>
          <w:szCs w:val="24"/>
        </w:rPr>
        <w:t xml:space="preserve"> et al., 2021; [7] Clark et al., 2021; [8] </w:t>
      </w:r>
      <w:proofErr w:type="spellStart"/>
      <w:r>
        <w:rPr>
          <w:rFonts w:ascii="Times New Roman" w:eastAsia="Times New Roman" w:hAnsi="Times New Roman" w:cs="Times New Roman"/>
          <w:sz w:val="24"/>
          <w:szCs w:val="24"/>
        </w:rPr>
        <w:t>Erlinger</w:t>
      </w:r>
      <w:proofErr w:type="spellEnd"/>
      <w:r>
        <w:rPr>
          <w:rFonts w:ascii="Times New Roman" w:eastAsia="Times New Roman" w:hAnsi="Times New Roman" w:cs="Times New Roman"/>
          <w:sz w:val="24"/>
          <w:szCs w:val="24"/>
        </w:rPr>
        <w:t xml:space="preserve"> et al., 2021; [9] Gabbard et al., 2021; [10] </w:t>
      </w:r>
      <w:proofErr w:type="spellStart"/>
      <w:r>
        <w:rPr>
          <w:rFonts w:ascii="Times New Roman" w:eastAsia="Times New Roman" w:hAnsi="Times New Roman" w:cs="Times New Roman"/>
          <w:sz w:val="24"/>
          <w:szCs w:val="24"/>
        </w:rPr>
        <w:t>Gerup</w:t>
      </w:r>
      <w:proofErr w:type="spellEnd"/>
      <w:r>
        <w:rPr>
          <w:rFonts w:ascii="Times New Roman" w:eastAsia="Times New Roman" w:hAnsi="Times New Roman" w:cs="Times New Roman"/>
          <w:sz w:val="24"/>
          <w:szCs w:val="24"/>
        </w:rPr>
        <w:t xml:space="preserve"> et al., 2020; [11] </w:t>
      </w:r>
      <w:proofErr w:type="spellStart"/>
      <w:r>
        <w:rPr>
          <w:rFonts w:ascii="Times New Roman" w:eastAsia="Times New Roman" w:hAnsi="Times New Roman" w:cs="Times New Roman"/>
          <w:sz w:val="24"/>
          <w:szCs w:val="24"/>
        </w:rPr>
        <w:t>Hauglum</w:t>
      </w:r>
      <w:proofErr w:type="spellEnd"/>
      <w:r>
        <w:rPr>
          <w:rFonts w:ascii="Times New Roman" w:eastAsia="Times New Roman" w:hAnsi="Times New Roman" w:cs="Times New Roman"/>
          <w:sz w:val="24"/>
          <w:szCs w:val="24"/>
        </w:rPr>
        <w:t xml:space="preserve"> et al., 2020; [12] Huang et al., 2021; [13] </w:t>
      </w:r>
      <w:proofErr w:type="spellStart"/>
      <w:r>
        <w:rPr>
          <w:rFonts w:ascii="Times New Roman" w:eastAsia="Times New Roman" w:hAnsi="Times New Roman" w:cs="Times New Roman"/>
          <w:sz w:val="24"/>
          <w:szCs w:val="24"/>
        </w:rPr>
        <w:t>Kovoor</w:t>
      </w:r>
      <w:proofErr w:type="spellEnd"/>
      <w:r>
        <w:rPr>
          <w:rFonts w:ascii="Times New Roman" w:eastAsia="Times New Roman" w:hAnsi="Times New Roman" w:cs="Times New Roman"/>
          <w:sz w:val="24"/>
          <w:szCs w:val="24"/>
        </w:rPr>
        <w:t xml:space="preserve"> et al., 2021; [14] Kurt et al., 2021; [15] Lutgendorf et al., 2017; [16] Miller et al., 2020; [17] Myers et al., 2017; [18] Nguyen et al., 2019; [19] </w:t>
      </w:r>
      <w:proofErr w:type="spellStart"/>
      <w:r>
        <w:rPr>
          <w:rFonts w:ascii="Times New Roman" w:eastAsia="Times New Roman" w:hAnsi="Times New Roman" w:cs="Times New Roman"/>
          <w:sz w:val="24"/>
          <w:szCs w:val="24"/>
        </w:rPr>
        <w:t>Novas</w:t>
      </w:r>
      <w:proofErr w:type="spellEnd"/>
      <w:r>
        <w:rPr>
          <w:rFonts w:ascii="Times New Roman" w:eastAsia="Times New Roman" w:hAnsi="Times New Roman" w:cs="Times New Roman"/>
          <w:sz w:val="24"/>
          <w:szCs w:val="24"/>
        </w:rPr>
        <w:t xml:space="preserve"> et al., 2020; [20] Parsons et al., 2019; [21] </w:t>
      </w:r>
      <w:proofErr w:type="spellStart"/>
      <w:r>
        <w:rPr>
          <w:rFonts w:ascii="Times New Roman" w:eastAsia="Times New Roman" w:hAnsi="Times New Roman" w:cs="Times New Roman"/>
          <w:sz w:val="24"/>
          <w:szCs w:val="24"/>
        </w:rPr>
        <w:t>Pulijala</w:t>
      </w:r>
      <w:proofErr w:type="spellEnd"/>
      <w:r>
        <w:rPr>
          <w:rFonts w:ascii="Times New Roman" w:eastAsia="Times New Roman" w:hAnsi="Times New Roman" w:cs="Times New Roman"/>
          <w:sz w:val="24"/>
          <w:szCs w:val="24"/>
        </w:rPr>
        <w:t xml:space="preserve"> et al., 2017; [22] Putnam et al., 2021; [23] Rojas-Munoz et al., 2020; [24] Scott-Herring et al., 2020; [25] Silverio et al., 2021; [26] </w:t>
      </w:r>
      <w:proofErr w:type="spellStart"/>
      <w:r>
        <w:rPr>
          <w:rFonts w:ascii="Times New Roman" w:eastAsia="Times New Roman" w:hAnsi="Times New Roman" w:cs="Times New Roman"/>
          <w:sz w:val="24"/>
          <w:szCs w:val="24"/>
        </w:rPr>
        <w:t>Staun</w:t>
      </w:r>
      <w:proofErr w:type="spellEnd"/>
      <w:r>
        <w:rPr>
          <w:rFonts w:ascii="Times New Roman" w:eastAsia="Times New Roman" w:hAnsi="Times New Roman" w:cs="Times New Roman"/>
          <w:sz w:val="24"/>
          <w:szCs w:val="24"/>
        </w:rPr>
        <w:t xml:space="preserve"> et al., 2020; [27] Suzuki et al., 2021; [28] Webb et al., 2020; [29] Wiggins et al., 2018; [30] Wray et al., 2019; [31] </w:t>
      </w:r>
      <w:proofErr w:type="spellStart"/>
      <w:r>
        <w:rPr>
          <w:rFonts w:ascii="Times New Roman" w:eastAsia="Times New Roman" w:hAnsi="Times New Roman" w:cs="Times New Roman"/>
          <w:sz w:val="24"/>
          <w:szCs w:val="24"/>
        </w:rPr>
        <w:t>Wunder</w:t>
      </w:r>
      <w:proofErr w:type="spellEnd"/>
      <w:r>
        <w:rPr>
          <w:rFonts w:ascii="Times New Roman" w:eastAsia="Times New Roman" w:hAnsi="Times New Roman" w:cs="Times New Roman"/>
          <w:sz w:val="24"/>
          <w:szCs w:val="24"/>
        </w:rPr>
        <w:t xml:space="preserve"> et al., 2020</w:t>
      </w:r>
    </w:p>
    <w:p w14:paraId="2FFA4CD6" w14:textId="77777777" w:rsidR="00D401A7" w:rsidRDefault="00000000">
      <w:pPr>
        <w:spacing w:line="523" w:lineRule="auto"/>
        <w:jc w:val="center"/>
        <w:rPr>
          <w:rFonts w:ascii="Times New Roman" w:eastAsia="Times New Roman" w:hAnsi="Times New Roman" w:cs="Times New Roman"/>
          <w:sz w:val="24"/>
          <w:szCs w:val="24"/>
        </w:rPr>
      </w:pPr>
      <w:bookmarkStart w:id="0" w:name="bookmark=id.wpwz9nlnc7zz" w:colFirst="0" w:colLast="0"/>
      <w:bookmarkEnd w:id="0"/>
      <w:r>
        <w:rPr>
          <w:rFonts w:ascii="Times New Roman" w:eastAsia="Times New Roman" w:hAnsi="Times New Roman" w:cs="Times New Roman"/>
          <w:b/>
          <w:sz w:val="24"/>
          <w:szCs w:val="24"/>
        </w:rPr>
        <w:lastRenderedPageBreak/>
        <w:t xml:space="preserve">Appendix B: </w:t>
      </w:r>
      <w:r>
        <w:rPr>
          <w:rFonts w:ascii="Times New Roman" w:eastAsia="Times New Roman" w:hAnsi="Times New Roman" w:cs="Times New Roman"/>
          <w:sz w:val="24"/>
          <w:szCs w:val="24"/>
        </w:rPr>
        <w:t>Theoretical Framework Models</w:t>
      </w:r>
    </w:p>
    <w:p w14:paraId="306267F6" w14:textId="77777777" w:rsidR="00D401A7" w:rsidRDefault="00000000">
      <w:pPr>
        <w:spacing w:line="523"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B1</w:t>
      </w:r>
    </w:p>
    <w:p w14:paraId="4A3B2760" w14:textId="77777777" w:rsidR="00D401A7" w:rsidRDefault="00000000">
      <w:pPr>
        <w:spacing w:line="240" w:lineRule="auto"/>
        <w:rPr>
          <w:rFonts w:ascii="Times New Roman" w:eastAsia="Times New Roman" w:hAnsi="Times New Roman" w:cs="Times New Roman"/>
          <w:i/>
          <w:color w:val="231F20"/>
          <w:sz w:val="24"/>
          <w:szCs w:val="24"/>
        </w:rPr>
      </w:pPr>
      <w:r>
        <w:rPr>
          <w:rFonts w:ascii="Times New Roman" w:eastAsia="Times New Roman" w:hAnsi="Times New Roman" w:cs="Times New Roman"/>
          <w:i/>
          <w:color w:val="231F20"/>
          <w:sz w:val="24"/>
          <w:szCs w:val="24"/>
        </w:rPr>
        <w:t>The Johns Hopkins Nursing Evidenced-Based Practice Theory Model</w:t>
      </w:r>
    </w:p>
    <w:p w14:paraId="5A627400" w14:textId="77777777" w:rsidR="00D401A7" w:rsidRDefault="00D401A7">
      <w:pPr>
        <w:spacing w:line="240" w:lineRule="auto"/>
        <w:rPr>
          <w:rFonts w:ascii="Times New Roman" w:eastAsia="Times New Roman" w:hAnsi="Times New Roman" w:cs="Times New Roman"/>
          <w:color w:val="231F20"/>
          <w:sz w:val="24"/>
          <w:szCs w:val="24"/>
        </w:rPr>
      </w:pPr>
    </w:p>
    <w:p w14:paraId="0E0913F2" w14:textId="77777777" w:rsidR="00D401A7" w:rsidRDefault="00000000">
      <w:pPr>
        <w:spacing w:line="240" w:lineRule="auto"/>
        <w:jc w:val="center"/>
        <w:rPr>
          <w:rFonts w:ascii="Times New Roman" w:eastAsia="Times New Roman" w:hAnsi="Times New Roman" w:cs="Times New Roman"/>
          <w:color w:val="2F2F2F"/>
          <w:sz w:val="24"/>
          <w:szCs w:val="24"/>
          <w:shd w:val="clear" w:color="auto" w:fill="2397D2"/>
        </w:rPr>
      </w:pPr>
      <w:r>
        <w:rPr>
          <w:rFonts w:ascii="Times New Roman" w:eastAsia="Times New Roman" w:hAnsi="Times New Roman" w:cs="Times New Roman"/>
          <w:noProof/>
          <w:sz w:val="24"/>
          <w:szCs w:val="24"/>
        </w:rPr>
        <w:drawing>
          <wp:inline distT="114300" distB="114300" distL="114300" distR="114300" wp14:anchorId="19A0C4A5" wp14:editId="47A4AD41">
            <wp:extent cx="3819525" cy="1985090"/>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5"/>
                    <a:srcRect/>
                    <a:stretch>
                      <a:fillRect/>
                    </a:stretch>
                  </pic:blipFill>
                  <pic:spPr>
                    <a:xfrm>
                      <a:off x="0" y="0"/>
                      <a:ext cx="3819525" cy="1985090"/>
                    </a:xfrm>
                    <a:prstGeom prst="rect">
                      <a:avLst/>
                    </a:prstGeom>
                    <a:ln/>
                  </pic:spPr>
                </pic:pic>
              </a:graphicData>
            </a:graphic>
          </wp:inline>
        </w:drawing>
      </w:r>
    </w:p>
    <w:p w14:paraId="0D4EECA1" w14:textId="77777777" w:rsidR="00D401A7" w:rsidRDefault="00D401A7">
      <w:pPr>
        <w:spacing w:line="240" w:lineRule="auto"/>
        <w:rPr>
          <w:rFonts w:ascii="Times New Roman" w:eastAsia="Times New Roman" w:hAnsi="Times New Roman" w:cs="Times New Roman"/>
          <w:color w:val="2F2F2F"/>
          <w:sz w:val="24"/>
          <w:szCs w:val="24"/>
        </w:rPr>
      </w:pPr>
    </w:p>
    <w:p w14:paraId="27D89B6E" w14:textId="77777777" w:rsidR="00D401A7" w:rsidRDefault="00000000">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i/>
          <w:color w:val="333333"/>
          <w:sz w:val="24"/>
          <w:szCs w:val="24"/>
        </w:rPr>
        <w:t>Note</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231F20"/>
          <w:sz w:val="24"/>
          <w:szCs w:val="24"/>
        </w:rPr>
        <w:t>This model is a problem-solving approach to clinical nurse decision-making guiding individual or group use; it uses a three-step process called PET: practice question, evidence, and translation. Upstate University Medical database. Copyright 2021 by The Johns Hopkins Hospital/The Johns Hopkins University.</w:t>
      </w:r>
    </w:p>
    <w:p w14:paraId="3BCF949E" w14:textId="77777777" w:rsidR="00D401A7" w:rsidRDefault="00D401A7">
      <w:pPr>
        <w:spacing w:line="240" w:lineRule="auto"/>
        <w:rPr>
          <w:rFonts w:ascii="Times New Roman" w:eastAsia="Times New Roman" w:hAnsi="Times New Roman" w:cs="Times New Roman"/>
          <w:b/>
          <w:color w:val="2F2F2F"/>
          <w:sz w:val="24"/>
          <w:szCs w:val="24"/>
        </w:rPr>
      </w:pPr>
    </w:p>
    <w:p w14:paraId="25853A15" w14:textId="77777777" w:rsidR="00D401A7" w:rsidRDefault="00D401A7">
      <w:pPr>
        <w:spacing w:line="240" w:lineRule="auto"/>
        <w:rPr>
          <w:rFonts w:ascii="Times New Roman" w:eastAsia="Times New Roman" w:hAnsi="Times New Roman" w:cs="Times New Roman"/>
          <w:b/>
          <w:color w:val="2F2F2F"/>
          <w:sz w:val="24"/>
          <w:szCs w:val="24"/>
        </w:rPr>
      </w:pPr>
    </w:p>
    <w:p w14:paraId="0311F274" w14:textId="77777777" w:rsidR="00D401A7" w:rsidRDefault="00D401A7">
      <w:pPr>
        <w:spacing w:line="240" w:lineRule="auto"/>
        <w:rPr>
          <w:rFonts w:ascii="Times New Roman" w:eastAsia="Times New Roman" w:hAnsi="Times New Roman" w:cs="Times New Roman"/>
          <w:b/>
          <w:color w:val="2F2F2F"/>
          <w:sz w:val="24"/>
          <w:szCs w:val="24"/>
        </w:rPr>
      </w:pPr>
    </w:p>
    <w:p w14:paraId="628EEFCE" w14:textId="77777777" w:rsidR="00D401A7" w:rsidRDefault="00D401A7">
      <w:pPr>
        <w:spacing w:line="240" w:lineRule="auto"/>
        <w:rPr>
          <w:rFonts w:ascii="Times New Roman" w:eastAsia="Times New Roman" w:hAnsi="Times New Roman" w:cs="Times New Roman"/>
          <w:b/>
          <w:color w:val="2F2F2F"/>
          <w:sz w:val="24"/>
          <w:szCs w:val="24"/>
        </w:rPr>
      </w:pPr>
    </w:p>
    <w:p w14:paraId="20929D5D" w14:textId="77777777" w:rsidR="00D401A7" w:rsidRDefault="00D401A7">
      <w:pPr>
        <w:spacing w:line="240" w:lineRule="auto"/>
        <w:rPr>
          <w:rFonts w:ascii="Times New Roman" w:eastAsia="Times New Roman" w:hAnsi="Times New Roman" w:cs="Times New Roman"/>
          <w:b/>
          <w:color w:val="2F2F2F"/>
          <w:sz w:val="24"/>
          <w:szCs w:val="24"/>
        </w:rPr>
      </w:pPr>
    </w:p>
    <w:p w14:paraId="33ABB601" w14:textId="77777777" w:rsidR="00D401A7" w:rsidRDefault="00D401A7">
      <w:pPr>
        <w:spacing w:line="240" w:lineRule="auto"/>
        <w:rPr>
          <w:rFonts w:ascii="Times New Roman" w:eastAsia="Times New Roman" w:hAnsi="Times New Roman" w:cs="Times New Roman"/>
          <w:b/>
          <w:color w:val="2F2F2F"/>
          <w:sz w:val="24"/>
          <w:szCs w:val="24"/>
        </w:rPr>
      </w:pPr>
    </w:p>
    <w:p w14:paraId="5D720733" w14:textId="77777777" w:rsidR="00D401A7" w:rsidRDefault="00D401A7">
      <w:pPr>
        <w:spacing w:line="240" w:lineRule="auto"/>
        <w:rPr>
          <w:rFonts w:ascii="Times New Roman" w:eastAsia="Times New Roman" w:hAnsi="Times New Roman" w:cs="Times New Roman"/>
          <w:b/>
          <w:color w:val="2F2F2F"/>
          <w:sz w:val="24"/>
          <w:szCs w:val="24"/>
        </w:rPr>
      </w:pPr>
    </w:p>
    <w:p w14:paraId="7A8B0A43" w14:textId="77777777" w:rsidR="00D401A7" w:rsidRDefault="00D401A7">
      <w:pPr>
        <w:spacing w:line="240" w:lineRule="auto"/>
        <w:rPr>
          <w:rFonts w:ascii="Times New Roman" w:eastAsia="Times New Roman" w:hAnsi="Times New Roman" w:cs="Times New Roman"/>
          <w:b/>
          <w:color w:val="2F2F2F"/>
          <w:sz w:val="24"/>
          <w:szCs w:val="24"/>
        </w:rPr>
      </w:pPr>
    </w:p>
    <w:p w14:paraId="4315AB45" w14:textId="77777777" w:rsidR="00D401A7" w:rsidRDefault="00D401A7">
      <w:pPr>
        <w:spacing w:line="240" w:lineRule="auto"/>
        <w:rPr>
          <w:rFonts w:ascii="Times New Roman" w:eastAsia="Times New Roman" w:hAnsi="Times New Roman" w:cs="Times New Roman"/>
          <w:b/>
          <w:color w:val="2F2F2F"/>
          <w:sz w:val="24"/>
          <w:szCs w:val="24"/>
        </w:rPr>
      </w:pPr>
    </w:p>
    <w:p w14:paraId="31584484" w14:textId="77777777" w:rsidR="00D401A7" w:rsidRDefault="00D401A7">
      <w:pPr>
        <w:spacing w:line="240" w:lineRule="auto"/>
        <w:rPr>
          <w:rFonts w:ascii="Times New Roman" w:eastAsia="Times New Roman" w:hAnsi="Times New Roman" w:cs="Times New Roman"/>
          <w:b/>
          <w:color w:val="2F2F2F"/>
          <w:sz w:val="24"/>
          <w:szCs w:val="24"/>
        </w:rPr>
      </w:pPr>
    </w:p>
    <w:p w14:paraId="22495C9D" w14:textId="77777777" w:rsidR="00D401A7" w:rsidRDefault="00D401A7">
      <w:pPr>
        <w:spacing w:line="240" w:lineRule="auto"/>
        <w:rPr>
          <w:rFonts w:ascii="Times New Roman" w:eastAsia="Times New Roman" w:hAnsi="Times New Roman" w:cs="Times New Roman"/>
          <w:b/>
          <w:color w:val="2F2F2F"/>
          <w:sz w:val="24"/>
          <w:szCs w:val="24"/>
        </w:rPr>
      </w:pPr>
    </w:p>
    <w:p w14:paraId="7372B2A5" w14:textId="77777777" w:rsidR="00D401A7" w:rsidRDefault="00D401A7">
      <w:pPr>
        <w:spacing w:line="240" w:lineRule="auto"/>
        <w:rPr>
          <w:rFonts w:ascii="Times New Roman" w:eastAsia="Times New Roman" w:hAnsi="Times New Roman" w:cs="Times New Roman"/>
          <w:b/>
          <w:color w:val="2F2F2F"/>
          <w:sz w:val="24"/>
          <w:szCs w:val="24"/>
        </w:rPr>
      </w:pPr>
    </w:p>
    <w:p w14:paraId="123C6C50" w14:textId="77777777" w:rsidR="00D401A7" w:rsidRDefault="00D401A7">
      <w:pPr>
        <w:spacing w:line="240" w:lineRule="auto"/>
        <w:rPr>
          <w:rFonts w:ascii="Times New Roman" w:eastAsia="Times New Roman" w:hAnsi="Times New Roman" w:cs="Times New Roman"/>
          <w:b/>
          <w:color w:val="2F2F2F"/>
          <w:sz w:val="24"/>
          <w:szCs w:val="24"/>
        </w:rPr>
      </w:pPr>
    </w:p>
    <w:p w14:paraId="33140305" w14:textId="77777777" w:rsidR="00D401A7" w:rsidRDefault="00D401A7">
      <w:pPr>
        <w:spacing w:line="240" w:lineRule="auto"/>
        <w:rPr>
          <w:rFonts w:ascii="Times New Roman" w:eastAsia="Times New Roman" w:hAnsi="Times New Roman" w:cs="Times New Roman"/>
          <w:b/>
          <w:color w:val="2F2F2F"/>
          <w:sz w:val="24"/>
          <w:szCs w:val="24"/>
        </w:rPr>
      </w:pPr>
    </w:p>
    <w:p w14:paraId="21C49502" w14:textId="77777777" w:rsidR="00D401A7" w:rsidRDefault="00D401A7">
      <w:pPr>
        <w:spacing w:line="240" w:lineRule="auto"/>
        <w:rPr>
          <w:rFonts w:ascii="Times New Roman" w:eastAsia="Times New Roman" w:hAnsi="Times New Roman" w:cs="Times New Roman"/>
          <w:b/>
          <w:color w:val="2F2F2F"/>
          <w:sz w:val="24"/>
          <w:szCs w:val="24"/>
        </w:rPr>
      </w:pPr>
    </w:p>
    <w:p w14:paraId="0D953E6E" w14:textId="77777777" w:rsidR="00D401A7" w:rsidRDefault="00D401A7">
      <w:pPr>
        <w:spacing w:line="240" w:lineRule="auto"/>
        <w:rPr>
          <w:rFonts w:ascii="Times New Roman" w:eastAsia="Times New Roman" w:hAnsi="Times New Roman" w:cs="Times New Roman"/>
          <w:b/>
          <w:color w:val="2F2F2F"/>
          <w:sz w:val="24"/>
          <w:szCs w:val="24"/>
        </w:rPr>
      </w:pPr>
    </w:p>
    <w:p w14:paraId="3188A720" w14:textId="77777777" w:rsidR="00D401A7" w:rsidRDefault="00D401A7">
      <w:pPr>
        <w:spacing w:line="240" w:lineRule="auto"/>
        <w:rPr>
          <w:rFonts w:ascii="Times New Roman" w:eastAsia="Times New Roman" w:hAnsi="Times New Roman" w:cs="Times New Roman"/>
          <w:b/>
          <w:color w:val="2F2F2F"/>
          <w:sz w:val="24"/>
          <w:szCs w:val="24"/>
        </w:rPr>
      </w:pPr>
    </w:p>
    <w:p w14:paraId="6280540F" w14:textId="77777777" w:rsidR="00D401A7" w:rsidRDefault="00D401A7">
      <w:pPr>
        <w:spacing w:line="240" w:lineRule="auto"/>
        <w:rPr>
          <w:rFonts w:ascii="Times New Roman" w:eastAsia="Times New Roman" w:hAnsi="Times New Roman" w:cs="Times New Roman"/>
          <w:b/>
          <w:color w:val="2F2F2F"/>
          <w:sz w:val="24"/>
          <w:szCs w:val="24"/>
        </w:rPr>
      </w:pPr>
    </w:p>
    <w:p w14:paraId="7025B0B1" w14:textId="77777777" w:rsidR="00D401A7" w:rsidRDefault="00D401A7">
      <w:pPr>
        <w:spacing w:line="240" w:lineRule="auto"/>
        <w:rPr>
          <w:rFonts w:ascii="Times New Roman" w:eastAsia="Times New Roman" w:hAnsi="Times New Roman" w:cs="Times New Roman"/>
          <w:b/>
          <w:color w:val="2F2F2F"/>
          <w:sz w:val="24"/>
          <w:szCs w:val="24"/>
        </w:rPr>
      </w:pPr>
    </w:p>
    <w:p w14:paraId="70F8700E" w14:textId="77777777" w:rsidR="00D401A7" w:rsidRDefault="00D401A7">
      <w:pPr>
        <w:spacing w:line="240" w:lineRule="auto"/>
        <w:rPr>
          <w:rFonts w:ascii="Times New Roman" w:eastAsia="Times New Roman" w:hAnsi="Times New Roman" w:cs="Times New Roman"/>
          <w:b/>
          <w:color w:val="2F2F2F"/>
          <w:sz w:val="24"/>
          <w:szCs w:val="24"/>
        </w:rPr>
      </w:pPr>
    </w:p>
    <w:p w14:paraId="05EFCFBC" w14:textId="77777777" w:rsidR="00D401A7" w:rsidRDefault="00D401A7">
      <w:pPr>
        <w:spacing w:line="240" w:lineRule="auto"/>
        <w:rPr>
          <w:rFonts w:ascii="Times New Roman" w:eastAsia="Times New Roman" w:hAnsi="Times New Roman" w:cs="Times New Roman"/>
          <w:b/>
          <w:color w:val="2F2F2F"/>
          <w:sz w:val="24"/>
          <w:szCs w:val="24"/>
        </w:rPr>
      </w:pPr>
    </w:p>
    <w:p w14:paraId="5C012282" w14:textId="77777777" w:rsidR="00D401A7" w:rsidRDefault="00D401A7">
      <w:pPr>
        <w:spacing w:line="240" w:lineRule="auto"/>
        <w:rPr>
          <w:rFonts w:ascii="Times New Roman" w:eastAsia="Times New Roman" w:hAnsi="Times New Roman" w:cs="Times New Roman"/>
          <w:b/>
          <w:color w:val="2F2F2F"/>
          <w:sz w:val="24"/>
          <w:szCs w:val="24"/>
        </w:rPr>
      </w:pPr>
    </w:p>
    <w:p w14:paraId="3295AC72" w14:textId="77777777" w:rsidR="00D401A7" w:rsidRDefault="00D401A7">
      <w:pPr>
        <w:spacing w:line="240" w:lineRule="auto"/>
        <w:rPr>
          <w:rFonts w:ascii="Times New Roman" w:eastAsia="Times New Roman" w:hAnsi="Times New Roman" w:cs="Times New Roman"/>
          <w:b/>
          <w:color w:val="2F2F2F"/>
          <w:sz w:val="24"/>
          <w:szCs w:val="24"/>
        </w:rPr>
      </w:pPr>
    </w:p>
    <w:p w14:paraId="33055560" w14:textId="77777777" w:rsidR="00D401A7" w:rsidRDefault="00D401A7">
      <w:pPr>
        <w:spacing w:line="240" w:lineRule="auto"/>
        <w:rPr>
          <w:rFonts w:ascii="Times New Roman" w:eastAsia="Times New Roman" w:hAnsi="Times New Roman" w:cs="Times New Roman"/>
          <w:b/>
          <w:color w:val="2F2F2F"/>
          <w:sz w:val="24"/>
          <w:szCs w:val="24"/>
        </w:rPr>
      </w:pPr>
    </w:p>
    <w:p w14:paraId="6EA9140C" w14:textId="77777777" w:rsidR="00D401A7" w:rsidRDefault="00000000">
      <w:pPr>
        <w:spacing w:line="240" w:lineRule="auto"/>
        <w:rPr>
          <w:rFonts w:ascii="Times New Roman" w:eastAsia="Times New Roman" w:hAnsi="Times New Roman" w:cs="Times New Roman"/>
          <w:b/>
          <w:color w:val="2F2F2F"/>
          <w:sz w:val="24"/>
          <w:szCs w:val="24"/>
        </w:rPr>
      </w:pPr>
      <w:r>
        <w:rPr>
          <w:rFonts w:ascii="Times New Roman" w:eastAsia="Times New Roman" w:hAnsi="Times New Roman" w:cs="Times New Roman"/>
          <w:b/>
          <w:color w:val="2F2F2F"/>
          <w:sz w:val="24"/>
          <w:szCs w:val="24"/>
        </w:rPr>
        <w:lastRenderedPageBreak/>
        <w:t>Figure B2</w:t>
      </w:r>
    </w:p>
    <w:p w14:paraId="6772F7D5" w14:textId="77777777" w:rsidR="00D401A7" w:rsidRDefault="00D401A7">
      <w:pPr>
        <w:spacing w:line="240" w:lineRule="auto"/>
        <w:rPr>
          <w:rFonts w:ascii="Times New Roman" w:eastAsia="Times New Roman" w:hAnsi="Times New Roman" w:cs="Times New Roman"/>
          <w:b/>
          <w:color w:val="2F2F2F"/>
          <w:sz w:val="24"/>
          <w:szCs w:val="24"/>
        </w:rPr>
      </w:pPr>
    </w:p>
    <w:p w14:paraId="409AA0BD" w14:textId="77777777" w:rsidR="00D401A7" w:rsidRDefault="00000000">
      <w:pPr>
        <w:spacing w:line="240" w:lineRule="auto"/>
        <w:rPr>
          <w:rFonts w:ascii="Times New Roman" w:eastAsia="Times New Roman" w:hAnsi="Times New Roman" w:cs="Times New Roman"/>
          <w:i/>
          <w:color w:val="2F2F2F"/>
          <w:sz w:val="24"/>
          <w:szCs w:val="24"/>
        </w:rPr>
      </w:pPr>
      <w:r>
        <w:rPr>
          <w:rFonts w:ascii="Times New Roman" w:eastAsia="Times New Roman" w:hAnsi="Times New Roman" w:cs="Times New Roman"/>
          <w:i/>
          <w:color w:val="212121"/>
          <w:sz w:val="24"/>
          <w:szCs w:val="24"/>
        </w:rPr>
        <w:t xml:space="preserve">National League for Nursing (NLN) Jeffries Simulation Theory </w:t>
      </w:r>
      <w:r>
        <w:rPr>
          <w:rFonts w:ascii="Times New Roman" w:eastAsia="Times New Roman" w:hAnsi="Times New Roman" w:cs="Times New Roman"/>
          <w:i/>
          <w:color w:val="2F2F2F"/>
          <w:sz w:val="24"/>
          <w:szCs w:val="24"/>
        </w:rPr>
        <w:t>Conceptual Framework</w:t>
      </w:r>
    </w:p>
    <w:p w14:paraId="07153DE4" w14:textId="77777777" w:rsidR="00D401A7" w:rsidRDefault="00D401A7">
      <w:pPr>
        <w:spacing w:line="240" w:lineRule="auto"/>
        <w:rPr>
          <w:rFonts w:ascii="Times New Roman" w:eastAsia="Times New Roman" w:hAnsi="Times New Roman" w:cs="Times New Roman"/>
          <w:i/>
          <w:color w:val="2F2F2F"/>
          <w:sz w:val="24"/>
          <w:szCs w:val="24"/>
        </w:rPr>
      </w:pPr>
    </w:p>
    <w:p w14:paraId="54F41564" w14:textId="77777777" w:rsidR="00D401A7" w:rsidRDefault="00000000">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397831D" wp14:editId="368DA39C">
            <wp:extent cx="3944785" cy="5014913"/>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3944785" cy="5014913"/>
                    </a:xfrm>
                    <a:prstGeom prst="rect">
                      <a:avLst/>
                    </a:prstGeom>
                    <a:ln/>
                  </pic:spPr>
                </pic:pic>
              </a:graphicData>
            </a:graphic>
          </wp:inline>
        </w:drawing>
      </w:r>
    </w:p>
    <w:p w14:paraId="32E574B2" w14:textId="77777777" w:rsidR="00D401A7" w:rsidRDefault="00000000">
      <w:pPr>
        <w:spacing w:after="300" w:line="240" w:lineRule="auto"/>
        <w:rPr>
          <w:rFonts w:ascii="Times New Roman" w:eastAsia="Times New Roman" w:hAnsi="Times New Roman" w:cs="Times New Roman"/>
          <w:b/>
          <w:sz w:val="24"/>
          <w:szCs w:val="24"/>
        </w:rPr>
        <w:sectPr w:rsidR="00D401A7">
          <w:pgSz w:w="12240" w:h="15840"/>
          <w:pgMar w:top="1440" w:right="1440" w:bottom="1440" w:left="1440" w:header="720" w:footer="720" w:gutter="0"/>
          <w:cols w:space="720"/>
        </w:sectPr>
      </w:pPr>
      <w:r>
        <w:rPr>
          <w:rFonts w:ascii="Times New Roman" w:eastAsia="Times New Roman" w:hAnsi="Times New Roman" w:cs="Times New Roman"/>
          <w:i/>
          <w:color w:val="231F20"/>
          <w:sz w:val="24"/>
          <w:szCs w:val="24"/>
        </w:rPr>
        <w:t>Note</w:t>
      </w:r>
      <w:r>
        <w:rPr>
          <w:rFonts w:ascii="Times New Roman" w:eastAsia="Times New Roman" w:hAnsi="Times New Roman" w:cs="Times New Roman"/>
          <w:color w:val="231F20"/>
          <w:sz w:val="24"/>
          <w:szCs w:val="24"/>
        </w:rPr>
        <w:t>. This framework provides guidance to the establishment, modification, and/or evaluation to educational programs offering simulation learning opportunities.</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highlight w:val="white"/>
        </w:rPr>
        <w:t>Six core elements—context, background, design, educational practices, simulation experience, and outcomes-are evaluated where human role players and simulated participants are integrated within the simulation experience</w:t>
      </w:r>
      <w:r>
        <w:rPr>
          <w:rFonts w:ascii="Times New Roman" w:eastAsia="Times New Roman" w:hAnsi="Times New Roman" w:cs="Times New Roman"/>
          <w:color w:val="231F20"/>
          <w:sz w:val="24"/>
          <w:szCs w:val="24"/>
        </w:rPr>
        <w:t xml:space="preserve">. From “NLN Jeffries Simulation Theory: Brief Narrative Description,” by P.R. Jeffries, B. Rodgers, and K. Adamson, 2015, </w:t>
      </w:r>
      <w:r>
        <w:rPr>
          <w:rFonts w:ascii="Times New Roman" w:eastAsia="Times New Roman" w:hAnsi="Times New Roman" w:cs="Times New Roman"/>
          <w:i/>
          <w:color w:val="231F20"/>
          <w:sz w:val="24"/>
          <w:szCs w:val="24"/>
        </w:rPr>
        <w:t>Nursing Education Perspectives</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i/>
          <w:color w:val="231F20"/>
          <w:sz w:val="24"/>
          <w:szCs w:val="24"/>
        </w:rPr>
        <w:t>36</w:t>
      </w:r>
      <w:r>
        <w:rPr>
          <w:rFonts w:ascii="Times New Roman" w:eastAsia="Times New Roman" w:hAnsi="Times New Roman" w:cs="Times New Roman"/>
          <w:color w:val="231F20"/>
          <w:sz w:val="24"/>
          <w:szCs w:val="24"/>
        </w:rPr>
        <w:t>(5), 292–293</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rPr>
        <w:t>https://</w:t>
      </w:r>
      <w:hyperlink r:id="rId47">
        <w:r>
          <w:rPr>
            <w:rFonts w:ascii="Times New Roman" w:eastAsia="Times New Roman" w:hAnsi="Times New Roman" w:cs="Times New Roman"/>
            <w:color w:val="231F20"/>
            <w:sz w:val="24"/>
            <w:szCs w:val="24"/>
            <w:u w:val="single"/>
          </w:rPr>
          <w:t>doi.org/10.1097/00024776-201509000-00004</w:t>
        </w:r>
      </w:hyperlink>
      <w:r>
        <w:rPr>
          <w:rFonts w:ascii="Times New Roman" w:eastAsia="Times New Roman" w:hAnsi="Times New Roman" w:cs="Times New Roman"/>
          <w:color w:val="231F20"/>
          <w:sz w:val="24"/>
          <w:szCs w:val="24"/>
        </w:rPr>
        <w:t xml:space="preserve">. Copyright </w:t>
      </w:r>
      <w:r>
        <w:rPr>
          <w:rFonts w:ascii="Times New Roman" w:eastAsia="Times New Roman" w:hAnsi="Times New Roman" w:cs="Times New Roman"/>
          <w:color w:val="231F20"/>
          <w:sz w:val="24"/>
          <w:szCs w:val="24"/>
          <w:highlight w:val="white"/>
        </w:rPr>
        <w:t>2015 by Lippincott Williams &amp; Wilkins, Inc.</w:t>
      </w:r>
    </w:p>
    <w:p w14:paraId="27BAA290" w14:textId="77777777" w:rsidR="00D401A7" w:rsidRDefault="00000000">
      <w:pPr>
        <w:spacing w:line="480" w:lineRule="auto"/>
        <w:jc w:val="center"/>
        <w:rPr>
          <w:rFonts w:ascii="Times New Roman" w:eastAsia="Times New Roman" w:hAnsi="Times New Roman" w:cs="Times New Roman"/>
          <w:sz w:val="24"/>
          <w:szCs w:val="24"/>
        </w:rPr>
      </w:pPr>
      <w:bookmarkStart w:id="1" w:name="bookmark=id.gxn9adyh36mm" w:colFirst="0" w:colLast="0"/>
      <w:bookmarkEnd w:id="1"/>
      <w:r>
        <w:rPr>
          <w:rFonts w:ascii="Times New Roman" w:eastAsia="Times New Roman" w:hAnsi="Times New Roman" w:cs="Times New Roman"/>
          <w:b/>
          <w:sz w:val="24"/>
          <w:szCs w:val="24"/>
        </w:rPr>
        <w:lastRenderedPageBreak/>
        <w:t xml:space="preserve">Appendix C: </w:t>
      </w:r>
      <w:r>
        <w:rPr>
          <w:rFonts w:ascii="Times New Roman" w:eastAsia="Times New Roman" w:hAnsi="Times New Roman" w:cs="Times New Roman"/>
          <w:sz w:val="24"/>
          <w:szCs w:val="24"/>
        </w:rPr>
        <w:t>MANA Workshop Information Sheet</w:t>
      </w:r>
    </w:p>
    <w:p w14:paraId="3DFB363E"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Description: </w:t>
      </w:r>
    </w:p>
    <w:p w14:paraId="695CD0BF" w14:textId="77777777" w:rsidR="00D401A7" w:rsidRDefault="00000000">
      <w:pPr>
        <w:spacing w:line="48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 critically important component of the difficult airway algorithm delineates how to proceed through the ‘cannot-intubate, cannot-ventilate’ (CICV) pathway. When the initial steps of this algorithm do not achieve an adequate airway for gas exchange, anesthetists must consider establishing an invasive surgical airway via cricothyrotomy.</w:t>
      </w:r>
      <w:r>
        <w:rPr>
          <w:rFonts w:ascii="Times New Roman" w:eastAsia="Times New Roman" w:hAnsi="Times New Roman" w:cs="Times New Roman"/>
          <w:color w:val="231F20"/>
          <w:sz w:val="24"/>
          <w:szCs w:val="24"/>
          <w:highlight w:val="white"/>
        </w:rPr>
        <w:t xml:space="preserve"> This augmented reality-based simulation workshop will assist CRNAs in determining when cricothyrotomy is indicated and how to perform the procedure using a </w:t>
      </w:r>
      <w:proofErr w:type="spellStart"/>
      <w:r>
        <w:rPr>
          <w:rFonts w:ascii="Times New Roman" w:eastAsia="Times New Roman" w:hAnsi="Times New Roman" w:cs="Times New Roman"/>
          <w:color w:val="231F20"/>
          <w:sz w:val="24"/>
          <w:szCs w:val="24"/>
          <w:highlight w:val="white"/>
        </w:rPr>
        <w:t>Melker</w:t>
      </w:r>
      <w:proofErr w:type="spellEnd"/>
      <w:r>
        <w:rPr>
          <w:rFonts w:ascii="Times New Roman" w:eastAsia="Times New Roman" w:hAnsi="Times New Roman" w:cs="Times New Roman"/>
          <w:color w:val="231F20"/>
          <w:sz w:val="24"/>
          <w:szCs w:val="24"/>
          <w:highlight w:val="white"/>
        </w:rPr>
        <w:t xml:space="preserve"> kit. Hands-on practice will give participants the opportunity to improve their knowledge, confidence, and performance with identifying the cricoid cartilage and cannulating the trachea via this route.</w:t>
      </w:r>
    </w:p>
    <w:p w14:paraId="28C122A1" w14:textId="77777777" w:rsidR="00D401A7" w:rsidRDefault="00000000">
      <w:pPr>
        <w:spacing w:line="48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Course Objectives:</w:t>
      </w:r>
      <w:r>
        <w:rPr>
          <w:rFonts w:ascii="Times New Roman" w:eastAsia="Times New Roman" w:hAnsi="Times New Roman" w:cs="Times New Roman"/>
          <w:color w:val="231F20"/>
          <w:sz w:val="24"/>
          <w:szCs w:val="24"/>
        </w:rPr>
        <w:t xml:space="preserve"> By the end of the education workshop, the CRNA will be able to:</w:t>
      </w:r>
    </w:p>
    <w:p w14:paraId="145A3BE7" w14:textId="77777777" w:rsidR="00D401A7" w:rsidRDefault="00000000">
      <w:pPr>
        <w:spacing w:line="480" w:lineRule="auto"/>
        <w:ind w:left="720"/>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1.     Identify indications/contraindications to cricothyrotomy</w:t>
      </w:r>
    </w:p>
    <w:p w14:paraId="64B8D659" w14:textId="77777777" w:rsidR="00D401A7" w:rsidRDefault="00000000">
      <w:pPr>
        <w:spacing w:line="480" w:lineRule="auto"/>
        <w:ind w:left="720"/>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2.     Identify relevant anatomy specific to cricothyrotomy </w:t>
      </w:r>
    </w:p>
    <w:p w14:paraId="2203EE79" w14:textId="77777777" w:rsidR="00D401A7" w:rsidRDefault="00000000">
      <w:pPr>
        <w:spacing w:line="480" w:lineRule="auto"/>
        <w:ind w:left="720"/>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3.     Identify the 4 common methods of surgical access</w:t>
      </w:r>
    </w:p>
    <w:p w14:paraId="0BE05F24" w14:textId="77777777" w:rsidR="00D401A7" w:rsidRDefault="00000000">
      <w:pPr>
        <w:spacing w:line="480" w:lineRule="auto"/>
        <w:ind w:left="720"/>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4.     Accurately perform the steps of a cricothyrotomy</w:t>
      </w:r>
    </w:p>
    <w:p w14:paraId="39AEB0FC"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Study Title: </w:t>
      </w:r>
      <w:r>
        <w:rPr>
          <w:rFonts w:ascii="Times New Roman" w:eastAsia="Times New Roman" w:hAnsi="Times New Roman" w:cs="Times New Roman"/>
          <w:sz w:val="24"/>
          <w:szCs w:val="24"/>
        </w:rPr>
        <w:t>Projecting the Future of Simulation Training</w:t>
      </w:r>
    </w:p>
    <w:p w14:paraId="7DC88344" w14:textId="77777777" w:rsidR="00D401A7"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Principal Investigators: </w:t>
      </w:r>
      <w:r>
        <w:rPr>
          <w:rFonts w:ascii="Times New Roman" w:eastAsia="Times New Roman" w:hAnsi="Times New Roman" w:cs="Times New Roman"/>
          <w:i/>
          <w:sz w:val="24"/>
          <w:szCs w:val="24"/>
        </w:rPr>
        <w:t xml:space="preserve">Brendan </w:t>
      </w:r>
      <w:proofErr w:type="spellStart"/>
      <w:r>
        <w:rPr>
          <w:rFonts w:ascii="Times New Roman" w:eastAsia="Times New Roman" w:hAnsi="Times New Roman" w:cs="Times New Roman"/>
          <w:i/>
          <w:sz w:val="24"/>
          <w:szCs w:val="24"/>
        </w:rPr>
        <w:t>Pytlak</w:t>
      </w:r>
      <w:proofErr w:type="spellEnd"/>
      <w:r>
        <w:rPr>
          <w:rFonts w:ascii="Times New Roman" w:eastAsia="Times New Roman" w:hAnsi="Times New Roman" w:cs="Times New Roman"/>
          <w:i/>
          <w:sz w:val="24"/>
          <w:szCs w:val="24"/>
        </w:rPr>
        <w:t xml:space="preserve"> &amp; Zach </w:t>
      </w:r>
      <w:proofErr w:type="spellStart"/>
      <w:r>
        <w:rPr>
          <w:rFonts w:ascii="Times New Roman" w:eastAsia="Times New Roman" w:hAnsi="Times New Roman" w:cs="Times New Roman"/>
          <w:i/>
          <w:sz w:val="24"/>
          <w:szCs w:val="24"/>
        </w:rPr>
        <w:t>Frenette</w:t>
      </w:r>
      <w:proofErr w:type="spellEnd"/>
    </w:p>
    <w:p w14:paraId="1060D219"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Location: </w:t>
      </w:r>
      <w:r>
        <w:rPr>
          <w:rFonts w:ascii="Times New Roman" w:eastAsia="Times New Roman" w:hAnsi="Times New Roman" w:cs="Times New Roman"/>
          <w:sz w:val="24"/>
          <w:szCs w:val="24"/>
        </w:rPr>
        <w:t>Michigan Association of Nurse Anesthetists (MANA) Fall Conference 2022, Grand Traverse Resort in Acme, Michigan</w:t>
      </w:r>
    </w:p>
    <w:p w14:paraId="6D68CF70"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w:t>
      </w:r>
      <w:r>
        <w:rPr>
          <w:rFonts w:ascii="Times New Roman" w:eastAsia="Times New Roman" w:hAnsi="Times New Roman" w:cs="Times New Roman"/>
          <w:sz w:val="24"/>
          <w:szCs w:val="24"/>
        </w:rPr>
        <w:t xml:space="preserve">  The aim of this study is to determine how an augmented reality (AR)-based simulation approach for teaching cricothyrotomy impacts CRNA provider confidence, knowledge, and skill level when performing this task. </w:t>
      </w:r>
    </w:p>
    <w:p w14:paraId="68EAEB07"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Study Procedures: </w:t>
      </w:r>
      <w:r>
        <w:rPr>
          <w:rFonts w:ascii="Times New Roman" w:eastAsia="Times New Roman" w:hAnsi="Times New Roman" w:cs="Times New Roman"/>
          <w:sz w:val="24"/>
          <w:szCs w:val="24"/>
        </w:rPr>
        <w:t xml:space="preserve">When taking part in the study, you will be asked to do the following: </w:t>
      </w:r>
    </w:p>
    <w:p w14:paraId="174768C0" w14:textId="77777777" w:rsidR="00D401A7" w:rsidRDefault="00000000">
      <w:pPr>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b/>
          <w:sz w:val="14"/>
          <w:szCs w:val="14"/>
        </w:rPr>
        <w:lastRenderedPageBreak/>
        <w:t xml:space="preserve"> </w:t>
      </w:r>
      <w:r>
        <w:rPr>
          <w:rFonts w:ascii="Times New Roman" w:eastAsia="Times New Roman" w:hAnsi="Times New Roman" w:cs="Times New Roman"/>
          <w:sz w:val="24"/>
          <w:szCs w:val="24"/>
        </w:rPr>
        <w:t>Complete a pre- and post-education knowledge assessment regarding cricothyrotomy</w:t>
      </w:r>
    </w:p>
    <w:p w14:paraId="298A553C" w14:textId="77777777" w:rsidR="00D401A7" w:rsidRDefault="00000000">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a pre- and post-education confidence assessment regarding cricothyrotomy</w:t>
      </w:r>
    </w:p>
    <w:p w14:paraId="3AF49D36" w14:textId="77777777" w:rsidR="00D401A7" w:rsidRDefault="00000000">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Agree to participate in an AR-based educational module delineating the indications and steps to performing a cricothyrotomy</w:t>
      </w:r>
    </w:p>
    <w:p w14:paraId="55400638" w14:textId="77777777" w:rsidR="00D401A7" w:rsidRDefault="00000000">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Agree to participate in a hands-on simulation training session to perform a cricothyrotomy on a task trainer</w:t>
      </w:r>
    </w:p>
    <w:p w14:paraId="143B77E0" w14:textId="77777777" w:rsidR="00D401A7" w:rsidRDefault="00000000">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Agree to be scored on skill performance using a standardized checklist</w:t>
      </w:r>
    </w:p>
    <w:p w14:paraId="48728492" w14:textId="77777777" w:rsidR="00D401A7" w:rsidRDefault="00000000">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this is voluntary, you may opt out of study participation at any time without issue, however we urge you to participate for the 60-minute allotted time frame.</w:t>
      </w:r>
    </w:p>
    <w:p w14:paraId="6C54B7B8"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Benefits: </w:t>
      </w:r>
      <w:r>
        <w:rPr>
          <w:rFonts w:ascii="Times New Roman" w:eastAsia="Times New Roman" w:hAnsi="Times New Roman" w:cs="Times New Roman"/>
          <w:sz w:val="24"/>
          <w:szCs w:val="24"/>
        </w:rPr>
        <w:t>The direct benefit for you would be the professional development of a known, but rarely used skill, cricothyrotomy. Additionally, this workshop aims to improve provider confidence, necessary for difficult airway algorithm adherence and increasingly independent CRNA practice.</w:t>
      </w:r>
    </w:p>
    <w:p w14:paraId="0918F027"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Risks: </w:t>
      </w:r>
      <w:r>
        <w:rPr>
          <w:rFonts w:ascii="Times New Roman" w:eastAsia="Times New Roman" w:hAnsi="Times New Roman" w:cs="Times New Roman"/>
          <w:sz w:val="24"/>
          <w:szCs w:val="24"/>
        </w:rPr>
        <w:t xml:space="preserve">No foreseeable risks are noted. </w:t>
      </w:r>
    </w:p>
    <w:p w14:paraId="1CC1C7A2"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Costs: </w:t>
      </w:r>
      <w:r>
        <w:rPr>
          <w:rFonts w:ascii="Times New Roman" w:eastAsia="Times New Roman" w:hAnsi="Times New Roman" w:cs="Times New Roman"/>
          <w:sz w:val="24"/>
          <w:szCs w:val="24"/>
        </w:rPr>
        <w:t>No costs will be incurred for your participation.</w:t>
      </w:r>
    </w:p>
    <w:p w14:paraId="511465EC"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Compensation: </w:t>
      </w:r>
      <w:r>
        <w:rPr>
          <w:rFonts w:ascii="Times New Roman" w:eastAsia="Times New Roman" w:hAnsi="Times New Roman" w:cs="Times New Roman"/>
          <w:sz w:val="24"/>
          <w:szCs w:val="24"/>
        </w:rPr>
        <w:t>No compensation will be provided for your participation.</w:t>
      </w:r>
    </w:p>
    <w:p w14:paraId="1696E0EF"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Confidentiality: </w:t>
      </w:r>
      <w:r>
        <w:rPr>
          <w:rFonts w:ascii="Times New Roman" w:eastAsia="Times New Roman" w:hAnsi="Times New Roman" w:cs="Times New Roman"/>
          <w:sz w:val="24"/>
          <w:szCs w:val="24"/>
        </w:rPr>
        <w:t xml:space="preserve">All study aspects will remain confidential via randomized participant numbers. </w:t>
      </w:r>
    </w:p>
    <w:p w14:paraId="353FEE44"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Voluntary participation/withdrawal: </w:t>
      </w:r>
      <w:r>
        <w:rPr>
          <w:rFonts w:ascii="Times New Roman" w:eastAsia="Times New Roman" w:hAnsi="Times New Roman" w:cs="Times New Roman"/>
          <w:sz w:val="24"/>
          <w:szCs w:val="24"/>
        </w:rPr>
        <w:t>Participation is strictly voluntary; you may withdraw at any time.</w:t>
      </w:r>
    </w:p>
    <w:p w14:paraId="70A47E71"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Questions: </w:t>
      </w:r>
      <w:r>
        <w:rPr>
          <w:rFonts w:ascii="Times New Roman" w:eastAsia="Times New Roman" w:hAnsi="Times New Roman" w:cs="Times New Roman"/>
          <w:sz w:val="24"/>
          <w:szCs w:val="24"/>
        </w:rPr>
        <w:t xml:space="preserve">Any questions should be directed to Brendan </w:t>
      </w:r>
      <w:proofErr w:type="spellStart"/>
      <w:r>
        <w:rPr>
          <w:rFonts w:ascii="Times New Roman" w:eastAsia="Times New Roman" w:hAnsi="Times New Roman" w:cs="Times New Roman"/>
          <w:sz w:val="24"/>
          <w:szCs w:val="24"/>
        </w:rPr>
        <w:t>Pytlak</w:t>
      </w:r>
      <w:proofErr w:type="spellEnd"/>
      <w:r>
        <w:rPr>
          <w:rFonts w:ascii="Times New Roman" w:eastAsia="Times New Roman" w:hAnsi="Times New Roman" w:cs="Times New Roman"/>
          <w:sz w:val="24"/>
          <w:szCs w:val="24"/>
        </w:rPr>
        <w:t xml:space="preserve"> at </w:t>
      </w:r>
      <w:hyperlink r:id="rId48">
        <w:r>
          <w:rPr>
            <w:rFonts w:ascii="Times New Roman" w:eastAsia="Times New Roman" w:hAnsi="Times New Roman" w:cs="Times New Roman"/>
            <w:color w:val="231F20"/>
            <w:sz w:val="24"/>
            <w:szCs w:val="24"/>
          </w:rPr>
          <w:t>bpytlak@oakland.edu</w:t>
        </w:r>
      </w:hyperlink>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sz w:val="24"/>
          <w:szCs w:val="24"/>
        </w:rPr>
        <w:t xml:space="preserve">Zach </w:t>
      </w:r>
      <w:proofErr w:type="spellStart"/>
      <w:r>
        <w:rPr>
          <w:rFonts w:ascii="Times New Roman" w:eastAsia="Times New Roman" w:hAnsi="Times New Roman" w:cs="Times New Roman"/>
          <w:sz w:val="24"/>
          <w:szCs w:val="24"/>
        </w:rPr>
        <w:t>Frenette</w:t>
      </w:r>
      <w:proofErr w:type="spellEnd"/>
      <w:r>
        <w:rPr>
          <w:rFonts w:ascii="Times New Roman" w:eastAsia="Times New Roman" w:hAnsi="Times New Roman" w:cs="Times New Roman"/>
          <w:sz w:val="24"/>
          <w:szCs w:val="24"/>
        </w:rPr>
        <w:t xml:space="preserve"> at </w:t>
      </w:r>
      <w:hyperlink r:id="rId49">
        <w:r>
          <w:rPr>
            <w:rFonts w:ascii="Times New Roman" w:eastAsia="Times New Roman" w:hAnsi="Times New Roman" w:cs="Times New Roman"/>
            <w:color w:val="231F20"/>
            <w:sz w:val="24"/>
            <w:szCs w:val="24"/>
          </w:rPr>
          <w:t>zfrenette@oakland.edu</w:t>
        </w:r>
      </w:hyperlink>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sz w:val="24"/>
          <w:szCs w:val="24"/>
        </w:rPr>
        <w:t xml:space="preserve">or to the investigator’s faculty, Dr. Laura Rodgers, at larodgers@oakland.edu. Questions or concerns regarding rights as a participant should be </w:t>
      </w:r>
      <w:r>
        <w:rPr>
          <w:rFonts w:ascii="Times New Roman" w:eastAsia="Times New Roman" w:hAnsi="Times New Roman" w:cs="Times New Roman"/>
          <w:sz w:val="24"/>
          <w:szCs w:val="24"/>
        </w:rPr>
        <w:lastRenderedPageBreak/>
        <w:t xml:space="preserve">directed to the Institutional Review Board at 248-370-4898. The Institutional Review Board oversees all human participant research conducted through Oakland University. </w:t>
      </w:r>
    </w:p>
    <w:p w14:paraId="7193A9C9"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Participation:</w:t>
      </w:r>
      <w:r>
        <w:rPr>
          <w:rFonts w:ascii="Times New Roman" w:eastAsia="Times New Roman" w:hAnsi="Times New Roman" w:cs="Times New Roman"/>
          <w:sz w:val="24"/>
          <w:szCs w:val="24"/>
        </w:rPr>
        <w:t xml:space="preserve"> By registering online for the Cricothyrotomy workshop at the 2022 MANA Fall Conference, you are agreeing to participate in this study.</w:t>
      </w:r>
    </w:p>
    <w:p w14:paraId="48E58439" w14:textId="77777777" w:rsidR="00D401A7" w:rsidRDefault="00D401A7">
      <w:pPr>
        <w:spacing w:line="480" w:lineRule="auto"/>
        <w:jc w:val="center"/>
        <w:rPr>
          <w:rFonts w:ascii="Times New Roman" w:eastAsia="Times New Roman" w:hAnsi="Times New Roman" w:cs="Times New Roman"/>
          <w:b/>
          <w:sz w:val="24"/>
          <w:szCs w:val="24"/>
        </w:rPr>
      </w:pPr>
    </w:p>
    <w:p w14:paraId="280E5075" w14:textId="77777777" w:rsidR="00D401A7" w:rsidRDefault="00D401A7">
      <w:pPr>
        <w:spacing w:line="480" w:lineRule="auto"/>
        <w:jc w:val="center"/>
        <w:rPr>
          <w:rFonts w:ascii="Times New Roman" w:eastAsia="Times New Roman" w:hAnsi="Times New Roman" w:cs="Times New Roman"/>
          <w:b/>
          <w:sz w:val="24"/>
          <w:szCs w:val="24"/>
        </w:rPr>
      </w:pPr>
    </w:p>
    <w:p w14:paraId="48315280" w14:textId="77777777" w:rsidR="00D401A7" w:rsidRDefault="00D401A7">
      <w:pPr>
        <w:spacing w:line="480" w:lineRule="auto"/>
        <w:rPr>
          <w:rFonts w:ascii="Times New Roman" w:eastAsia="Times New Roman" w:hAnsi="Times New Roman" w:cs="Times New Roman"/>
          <w:b/>
          <w:sz w:val="24"/>
          <w:szCs w:val="24"/>
        </w:rPr>
      </w:pPr>
    </w:p>
    <w:p w14:paraId="2736C29B" w14:textId="77777777" w:rsidR="00D401A7" w:rsidRDefault="00D401A7">
      <w:pPr>
        <w:spacing w:line="480" w:lineRule="auto"/>
        <w:rPr>
          <w:rFonts w:ascii="Times New Roman" w:eastAsia="Times New Roman" w:hAnsi="Times New Roman" w:cs="Times New Roman"/>
          <w:b/>
          <w:sz w:val="24"/>
          <w:szCs w:val="24"/>
        </w:rPr>
      </w:pPr>
    </w:p>
    <w:p w14:paraId="7AD4806F" w14:textId="77777777" w:rsidR="00D401A7" w:rsidRDefault="00D401A7">
      <w:pPr>
        <w:spacing w:line="480" w:lineRule="auto"/>
        <w:rPr>
          <w:rFonts w:ascii="Times New Roman" w:eastAsia="Times New Roman" w:hAnsi="Times New Roman" w:cs="Times New Roman"/>
          <w:b/>
          <w:sz w:val="24"/>
          <w:szCs w:val="24"/>
        </w:rPr>
      </w:pPr>
    </w:p>
    <w:p w14:paraId="45501125" w14:textId="77777777" w:rsidR="00D401A7" w:rsidRDefault="00D401A7">
      <w:pPr>
        <w:spacing w:line="480" w:lineRule="auto"/>
        <w:rPr>
          <w:rFonts w:ascii="Times New Roman" w:eastAsia="Times New Roman" w:hAnsi="Times New Roman" w:cs="Times New Roman"/>
          <w:b/>
          <w:sz w:val="24"/>
          <w:szCs w:val="24"/>
        </w:rPr>
      </w:pPr>
    </w:p>
    <w:p w14:paraId="2BAE84CB" w14:textId="77777777" w:rsidR="00D401A7" w:rsidRDefault="00D401A7">
      <w:pPr>
        <w:spacing w:line="480" w:lineRule="auto"/>
        <w:rPr>
          <w:rFonts w:ascii="Times New Roman" w:eastAsia="Times New Roman" w:hAnsi="Times New Roman" w:cs="Times New Roman"/>
          <w:b/>
          <w:sz w:val="24"/>
          <w:szCs w:val="24"/>
        </w:rPr>
      </w:pPr>
    </w:p>
    <w:p w14:paraId="61293D1B" w14:textId="77777777" w:rsidR="00D401A7" w:rsidRDefault="00D401A7">
      <w:pPr>
        <w:spacing w:line="480" w:lineRule="auto"/>
        <w:rPr>
          <w:rFonts w:ascii="Times New Roman" w:eastAsia="Times New Roman" w:hAnsi="Times New Roman" w:cs="Times New Roman"/>
          <w:b/>
          <w:sz w:val="24"/>
          <w:szCs w:val="24"/>
        </w:rPr>
      </w:pPr>
    </w:p>
    <w:p w14:paraId="061A1B17" w14:textId="77777777" w:rsidR="00D401A7" w:rsidRDefault="00D401A7">
      <w:pPr>
        <w:spacing w:line="480" w:lineRule="auto"/>
        <w:rPr>
          <w:rFonts w:ascii="Times New Roman" w:eastAsia="Times New Roman" w:hAnsi="Times New Roman" w:cs="Times New Roman"/>
          <w:b/>
          <w:sz w:val="24"/>
          <w:szCs w:val="24"/>
        </w:rPr>
      </w:pPr>
    </w:p>
    <w:p w14:paraId="328DF282" w14:textId="77777777" w:rsidR="00D401A7" w:rsidRDefault="00D401A7">
      <w:pPr>
        <w:spacing w:line="480" w:lineRule="auto"/>
        <w:rPr>
          <w:rFonts w:ascii="Times New Roman" w:eastAsia="Times New Roman" w:hAnsi="Times New Roman" w:cs="Times New Roman"/>
          <w:b/>
          <w:sz w:val="24"/>
          <w:szCs w:val="24"/>
        </w:rPr>
      </w:pPr>
    </w:p>
    <w:p w14:paraId="0A9D4510" w14:textId="77777777" w:rsidR="00D401A7" w:rsidRDefault="00D401A7">
      <w:pPr>
        <w:spacing w:line="480" w:lineRule="auto"/>
        <w:rPr>
          <w:rFonts w:ascii="Times New Roman" w:eastAsia="Times New Roman" w:hAnsi="Times New Roman" w:cs="Times New Roman"/>
          <w:b/>
          <w:sz w:val="24"/>
          <w:szCs w:val="24"/>
        </w:rPr>
      </w:pPr>
    </w:p>
    <w:p w14:paraId="4E6F3680" w14:textId="77777777" w:rsidR="00D401A7" w:rsidRDefault="00D401A7">
      <w:pPr>
        <w:spacing w:line="480" w:lineRule="auto"/>
        <w:rPr>
          <w:rFonts w:ascii="Times New Roman" w:eastAsia="Times New Roman" w:hAnsi="Times New Roman" w:cs="Times New Roman"/>
          <w:b/>
          <w:sz w:val="24"/>
          <w:szCs w:val="24"/>
        </w:rPr>
      </w:pPr>
    </w:p>
    <w:p w14:paraId="1B8AB57A" w14:textId="77777777" w:rsidR="00D401A7" w:rsidRDefault="00D401A7">
      <w:pPr>
        <w:spacing w:line="480" w:lineRule="auto"/>
        <w:rPr>
          <w:rFonts w:ascii="Times New Roman" w:eastAsia="Times New Roman" w:hAnsi="Times New Roman" w:cs="Times New Roman"/>
          <w:b/>
          <w:sz w:val="24"/>
          <w:szCs w:val="24"/>
        </w:rPr>
      </w:pPr>
    </w:p>
    <w:p w14:paraId="3360CF28" w14:textId="77777777" w:rsidR="00D401A7" w:rsidRDefault="00D401A7">
      <w:pPr>
        <w:spacing w:line="480" w:lineRule="auto"/>
        <w:rPr>
          <w:rFonts w:ascii="Times New Roman" w:eastAsia="Times New Roman" w:hAnsi="Times New Roman" w:cs="Times New Roman"/>
          <w:b/>
          <w:sz w:val="24"/>
          <w:szCs w:val="24"/>
        </w:rPr>
      </w:pPr>
    </w:p>
    <w:p w14:paraId="23F7F019" w14:textId="77777777" w:rsidR="00D401A7" w:rsidRDefault="00D401A7">
      <w:pPr>
        <w:spacing w:line="480" w:lineRule="auto"/>
        <w:rPr>
          <w:rFonts w:ascii="Times New Roman" w:eastAsia="Times New Roman" w:hAnsi="Times New Roman" w:cs="Times New Roman"/>
          <w:b/>
          <w:sz w:val="24"/>
          <w:szCs w:val="24"/>
        </w:rPr>
      </w:pPr>
    </w:p>
    <w:p w14:paraId="79C2BC41" w14:textId="77777777" w:rsidR="00D401A7" w:rsidRDefault="00D401A7">
      <w:pPr>
        <w:spacing w:line="480" w:lineRule="auto"/>
        <w:rPr>
          <w:rFonts w:ascii="Times New Roman" w:eastAsia="Times New Roman" w:hAnsi="Times New Roman" w:cs="Times New Roman"/>
          <w:b/>
          <w:sz w:val="24"/>
          <w:szCs w:val="24"/>
        </w:rPr>
      </w:pPr>
    </w:p>
    <w:p w14:paraId="3EBD0D43" w14:textId="77777777" w:rsidR="00D401A7" w:rsidRDefault="00D401A7">
      <w:pPr>
        <w:spacing w:line="480" w:lineRule="auto"/>
        <w:rPr>
          <w:rFonts w:ascii="Times New Roman" w:eastAsia="Times New Roman" w:hAnsi="Times New Roman" w:cs="Times New Roman"/>
          <w:b/>
          <w:sz w:val="24"/>
          <w:szCs w:val="24"/>
        </w:rPr>
      </w:pPr>
    </w:p>
    <w:p w14:paraId="75B2A2B8" w14:textId="77777777" w:rsidR="00D401A7" w:rsidRDefault="00D401A7">
      <w:pPr>
        <w:spacing w:line="480" w:lineRule="auto"/>
        <w:rPr>
          <w:rFonts w:ascii="Times New Roman" w:eastAsia="Times New Roman" w:hAnsi="Times New Roman" w:cs="Times New Roman"/>
          <w:b/>
          <w:sz w:val="24"/>
          <w:szCs w:val="24"/>
        </w:rPr>
      </w:pPr>
    </w:p>
    <w:p w14:paraId="611975D0" w14:textId="77777777" w:rsidR="00D401A7" w:rsidRDefault="00D401A7">
      <w:pPr>
        <w:spacing w:line="480" w:lineRule="auto"/>
        <w:rPr>
          <w:rFonts w:ascii="Times New Roman" w:eastAsia="Times New Roman" w:hAnsi="Times New Roman" w:cs="Times New Roman"/>
          <w:b/>
          <w:sz w:val="24"/>
          <w:szCs w:val="24"/>
        </w:rPr>
      </w:pPr>
    </w:p>
    <w:p w14:paraId="28C987E7" w14:textId="77777777" w:rsidR="00D401A7" w:rsidRDefault="00000000">
      <w:pPr>
        <w:spacing w:line="480" w:lineRule="auto"/>
        <w:jc w:val="center"/>
      </w:pPr>
      <w:r>
        <w:rPr>
          <w:rFonts w:ascii="Times New Roman" w:eastAsia="Times New Roman" w:hAnsi="Times New Roman" w:cs="Times New Roman"/>
          <w:b/>
          <w:sz w:val="24"/>
          <w:szCs w:val="24"/>
        </w:rPr>
        <w:lastRenderedPageBreak/>
        <w:t xml:space="preserve">Appendix D: </w:t>
      </w:r>
      <w:r>
        <w:rPr>
          <w:rFonts w:ascii="Times New Roman" w:eastAsia="Times New Roman" w:hAnsi="Times New Roman" w:cs="Times New Roman"/>
          <w:sz w:val="24"/>
          <w:szCs w:val="24"/>
        </w:rPr>
        <w:t xml:space="preserve">Receipt of Information Sheet </w:t>
      </w:r>
    </w:p>
    <w:p w14:paraId="566F6C81"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Participant Number: </w:t>
      </w:r>
      <w:r>
        <w:rPr>
          <w:rFonts w:ascii="Times New Roman" w:eastAsia="Times New Roman" w:hAnsi="Times New Roman" w:cs="Times New Roman"/>
          <w:sz w:val="24"/>
          <w:szCs w:val="24"/>
        </w:rPr>
        <w:t>XXXX</w:t>
      </w:r>
    </w:p>
    <w:p w14:paraId="0BA26490"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Study Title: </w:t>
      </w:r>
      <w:r>
        <w:rPr>
          <w:rFonts w:ascii="Times New Roman" w:eastAsia="Times New Roman" w:hAnsi="Times New Roman" w:cs="Times New Roman"/>
          <w:sz w:val="24"/>
          <w:szCs w:val="24"/>
        </w:rPr>
        <w:t>Projecting the Future of Simulation Education</w:t>
      </w:r>
    </w:p>
    <w:p w14:paraId="6FF897AA" w14:textId="77777777" w:rsidR="00D401A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reviewed the project information sheet with the participant number:               </w:t>
      </w:r>
    </w:p>
    <w:p w14:paraId="2EDF4D2B"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participant has agreed to participate in the study. </w:t>
      </w:r>
    </w:p>
    <w:p w14:paraId="47A04090"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Comments, if applicable:  </w:t>
      </w:r>
    </w:p>
    <w:p w14:paraId="69D9BB43"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0F1E935"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B8C775D"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6CBEDD9" w14:textId="77777777" w:rsidR="00D401A7" w:rsidRDefault="00D401A7">
      <w:pPr>
        <w:spacing w:line="480" w:lineRule="auto"/>
        <w:rPr>
          <w:rFonts w:ascii="Times New Roman" w:eastAsia="Times New Roman" w:hAnsi="Times New Roman" w:cs="Times New Roman"/>
          <w:b/>
          <w:sz w:val="24"/>
          <w:szCs w:val="24"/>
        </w:rPr>
      </w:pPr>
    </w:p>
    <w:p w14:paraId="2870671D"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Name of person distributing information sheet: </w:t>
      </w:r>
    </w:p>
    <w:p w14:paraId="7B308FBC"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1071516"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Signature of person distributing information sheet:  </w:t>
      </w:r>
    </w:p>
    <w:p w14:paraId="57C0B526"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6F24993"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Date: </w:t>
      </w:r>
    </w:p>
    <w:p w14:paraId="67FD4CEA" w14:textId="77777777" w:rsidR="00D401A7" w:rsidRDefault="00D401A7">
      <w:pPr>
        <w:spacing w:line="480" w:lineRule="auto"/>
        <w:jc w:val="center"/>
        <w:rPr>
          <w:rFonts w:ascii="Times New Roman" w:eastAsia="Times New Roman" w:hAnsi="Times New Roman" w:cs="Times New Roman"/>
          <w:b/>
          <w:sz w:val="24"/>
          <w:szCs w:val="24"/>
        </w:rPr>
      </w:pPr>
    </w:p>
    <w:p w14:paraId="7B7C95E7" w14:textId="77777777" w:rsidR="00D401A7" w:rsidRDefault="00D401A7">
      <w:pPr>
        <w:spacing w:line="480" w:lineRule="auto"/>
        <w:jc w:val="center"/>
        <w:rPr>
          <w:rFonts w:ascii="Times New Roman" w:eastAsia="Times New Roman" w:hAnsi="Times New Roman" w:cs="Times New Roman"/>
          <w:b/>
          <w:sz w:val="24"/>
          <w:szCs w:val="24"/>
        </w:rPr>
      </w:pPr>
    </w:p>
    <w:p w14:paraId="758FCA82" w14:textId="77777777" w:rsidR="00D401A7" w:rsidRDefault="00D401A7">
      <w:pPr>
        <w:spacing w:line="480" w:lineRule="auto"/>
        <w:jc w:val="center"/>
        <w:rPr>
          <w:rFonts w:ascii="Times New Roman" w:eastAsia="Times New Roman" w:hAnsi="Times New Roman" w:cs="Times New Roman"/>
          <w:b/>
          <w:sz w:val="24"/>
          <w:szCs w:val="24"/>
        </w:rPr>
      </w:pPr>
    </w:p>
    <w:p w14:paraId="2858C65A" w14:textId="77777777" w:rsidR="00D401A7" w:rsidRDefault="00D401A7">
      <w:pPr>
        <w:spacing w:line="480" w:lineRule="auto"/>
        <w:jc w:val="center"/>
        <w:rPr>
          <w:rFonts w:ascii="Times New Roman" w:eastAsia="Times New Roman" w:hAnsi="Times New Roman" w:cs="Times New Roman"/>
          <w:b/>
          <w:sz w:val="24"/>
          <w:szCs w:val="24"/>
        </w:rPr>
      </w:pPr>
    </w:p>
    <w:p w14:paraId="70BE3E8A" w14:textId="77777777" w:rsidR="00D401A7" w:rsidRDefault="00D401A7">
      <w:pPr>
        <w:spacing w:line="480" w:lineRule="auto"/>
        <w:jc w:val="center"/>
        <w:rPr>
          <w:rFonts w:ascii="Times New Roman" w:eastAsia="Times New Roman" w:hAnsi="Times New Roman" w:cs="Times New Roman"/>
          <w:b/>
          <w:sz w:val="24"/>
          <w:szCs w:val="24"/>
        </w:rPr>
      </w:pPr>
    </w:p>
    <w:p w14:paraId="4D7217C9" w14:textId="77777777" w:rsidR="00D401A7" w:rsidRDefault="00D401A7">
      <w:pPr>
        <w:spacing w:line="480" w:lineRule="auto"/>
        <w:rPr>
          <w:rFonts w:ascii="Times New Roman" w:eastAsia="Times New Roman" w:hAnsi="Times New Roman" w:cs="Times New Roman"/>
          <w:b/>
          <w:sz w:val="24"/>
          <w:szCs w:val="24"/>
        </w:rPr>
      </w:pPr>
    </w:p>
    <w:p w14:paraId="2D076A57" w14:textId="77777777" w:rsidR="00D401A7" w:rsidRDefault="00D401A7">
      <w:pPr>
        <w:spacing w:line="480" w:lineRule="auto"/>
        <w:rPr>
          <w:rFonts w:ascii="Times New Roman" w:eastAsia="Times New Roman" w:hAnsi="Times New Roman" w:cs="Times New Roman"/>
          <w:b/>
          <w:sz w:val="24"/>
          <w:szCs w:val="24"/>
        </w:rPr>
      </w:pPr>
    </w:p>
    <w:p w14:paraId="108749CD" w14:textId="77777777" w:rsidR="00D401A7" w:rsidRDefault="00D401A7">
      <w:pPr>
        <w:spacing w:line="523" w:lineRule="auto"/>
        <w:rPr>
          <w:rFonts w:ascii="Times New Roman" w:eastAsia="Times New Roman" w:hAnsi="Times New Roman" w:cs="Times New Roman"/>
          <w:sz w:val="20"/>
          <w:szCs w:val="20"/>
        </w:rPr>
      </w:pPr>
    </w:p>
    <w:p w14:paraId="3126E7CF" w14:textId="77777777" w:rsidR="00D401A7" w:rsidRDefault="00D401A7">
      <w:pPr>
        <w:spacing w:line="523" w:lineRule="auto"/>
        <w:rPr>
          <w:rFonts w:ascii="Times New Roman" w:eastAsia="Times New Roman" w:hAnsi="Times New Roman" w:cs="Times New Roman"/>
          <w:sz w:val="20"/>
          <w:szCs w:val="20"/>
        </w:rPr>
      </w:pPr>
    </w:p>
    <w:p w14:paraId="3C97BBBA"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Appendix E: </w:t>
      </w:r>
      <w:r>
        <w:rPr>
          <w:rFonts w:ascii="Times New Roman" w:eastAsia="Times New Roman" w:hAnsi="Times New Roman" w:cs="Times New Roman"/>
          <w:sz w:val="24"/>
          <w:szCs w:val="24"/>
        </w:rPr>
        <w:t>Data Collection Packet</w:t>
      </w:r>
      <w:bookmarkStart w:id="2" w:name="bookmark=kix.t4oe345uq0ql" w:colFirst="0" w:colLast="0"/>
      <w:bookmarkEnd w:id="2"/>
    </w:p>
    <w:p w14:paraId="2409AC02" w14:textId="77777777" w:rsidR="00D401A7" w:rsidRDefault="00000000">
      <w:pPr>
        <w:spacing w:after="160" w:line="259" w:lineRule="auto"/>
        <w:rPr>
          <w:rFonts w:ascii="Calibri" w:eastAsia="Calibri" w:hAnsi="Calibri" w:cs="Calibri"/>
          <w:b/>
          <w:sz w:val="32"/>
          <w:szCs w:val="32"/>
        </w:rPr>
      </w:pPr>
      <w:r>
        <w:rPr>
          <w:rFonts w:ascii="Calibri" w:eastAsia="Calibri" w:hAnsi="Calibri" w:cs="Calibri"/>
          <w:b/>
          <w:sz w:val="32"/>
          <w:szCs w:val="32"/>
        </w:rPr>
        <w:t xml:space="preserve">Hello and welcome to the Fall 2022 MANA cricothyrotomy workshop presented by Brendan </w:t>
      </w:r>
      <w:proofErr w:type="spellStart"/>
      <w:r>
        <w:rPr>
          <w:rFonts w:ascii="Calibri" w:eastAsia="Calibri" w:hAnsi="Calibri" w:cs="Calibri"/>
          <w:b/>
          <w:sz w:val="32"/>
          <w:szCs w:val="32"/>
        </w:rPr>
        <w:t>Pytlak</w:t>
      </w:r>
      <w:proofErr w:type="spellEnd"/>
      <w:r>
        <w:rPr>
          <w:rFonts w:ascii="Calibri" w:eastAsia="Calibri" w:hAnsi="Calibri" w:cs="Calibri"/>
          <w:b/>
          <w:sz w:val="32"/>
          <w:szCs w:val="32"/>
        </w:rPr>
        <w:t xml:space="preserve"> and Zach </w:t>
      </w:r>
      <w:proofErr w:type="spellStart"/>
      <w:r>
        <w:rPr>
          <w:rFonts w:ascii="Calibri" w:eastAsia="Calibri" w:hAnsi="Calibri" w:cs="Calibri"/>
          <w:b/>
          <w:sz w:val="32"/>
          <w:szCs w:val="32"/>
        </w:rPr>
        <w:t>Frenette</w:t>
      </w:r>
      <w:proofErr w:type="spellEnd"/>
      <w:r>
        <w:rPr>
          <w:rFonts w:ascii="Calibri" w:eastAsia="Calibri" w:hAnsi="Calibri" w:cs="Calibri"/>
          <w:b/>
          <w:sz w:val="32"/>
          <w:szCs w:val="32"/>
        </w:rPr>
        <w:t xml:space="preserve">, current SRNAs at Oakland University-Beaumont Graduate Program of Nurse Anesthesia. </w:t>
      </w:r>
    </w:p>
    <w:p w14:paraId="22188F9C" w14:textId="77777777" w:rsidR="00D401A7" w:rsidRDefault="00000000">
      <w:pPr>
        <w:spacing w:after="160" w:line="259" w:lineRule="auto"/>
        <w:rPr>
          <w:rFonts w:ascii="Calibri" w:eastAsia="Calibri" w:hAnsi="Calibri" w:cs="Calibri"/>
          <w:b/>
          <w:sz w:val="32"/>
          <w:szCs w:val="32"/>
        </w:rPr>
      </w:pPr>
      <w:r>
        <w:rPr>
          <w:rFonts w:ascii="Calibri" w:eastAsia="Calibri" w:hAnsi="Calibri" w:cs="Calibri"/>
          <w:b/>
          <w:sz w:val="32"/>
          <w:szCs w:val="32"/>
        </w:rPr>
        <w:t xml:space="preserve">Your privacy is important to us, and we wanted to inform you that data will be collected throughout this workshop, however, no personal identifiers will be used. </w:t>
      </w:r>
    </w:p>
    <w:p w14:paraId="234A2712" w14:textId="77777777" w:rsidR="00D401A7" w:rsidRDefault="00000000">
      <w:pPr>
        <w:spacing w:after="160" w:line="259" w:lineRule="auto"/>
        <w:rPr>
          <w:rFonts w:ascii="Calibri" w:eastAsia="Calibri" w:hAnsi="Calibri" w:cs="Calibri"/>
          <w:b/>
          <w:sz w:val="32"/>
          <w:szCs w:val="32"/>
        </w:rPr>
      </w:pPr>
      <w:r>
        <w:rPr>
          <w:rFonts w:ascii="Calibri" w:eastAsia="Calibri" w:hAnsi="Calibri" w:cs="Calibri"/>
          <w:b/>
          <w:sz w:val="32"/>
          <w:szCs w:val="32"/>
        </w:rPr>
        <w:t>Contained in this packet is a</w:t>
      </w:r>
      <w:r>
        <w:rPr>
          <w:rFonts w:ascii="Calibri" w:eastAsia="Calibri" w:hAnsi="Calibri" w:cs="Calibri"/>
          <w:b/>
          <w:sz w:val="32"/>
          <w:szCs w:val="32"/>
          <w:u w:val="single"/>
        </w:rPr>
        <w:t xml:space="preserve"> pre-educational</w:t>
      </w:r>
      <w:r>
        <w:rPr>
          <w:rFonts w:ascii="Calibri" w:eastAsia="Calibri" w:hAnsi="Calibri" w:cs="Calibri"/>
          <w:b/>
          <w:sz w:val="32"/>
          <w:szCs w:val="32"/>
        </w:rPr>
        <w:t xml:space="preserve"> assessment, (Page 2-4) and a </w:t>
      </w:r>
      <w:r>
        <w:rPr>
          <w:rFonts w:ascii="Calibri" w:eastAsia="Calibri" w:hAnsi="Calibri" w:cs="Calibri"/>
          <w:b/>
          <w:sz w:val="32"/>
          <w:szCs w:val="32"/>
          <w:u w:val="single"/>
        </w:rPr>
        <w:t>post-educational</w:t>
      </w:r>
      <w:r>
        <w:rPr>
          <w:rFonts w:ascii="Calibri" w:eastAsia="Calibri" w:hAnsi="Calibri" w:cs="Calibri"/>
          <w:b/>
          <w:sz w:val="32"/>
          <w:szCs w:val="32"/>
        </w:rPr>
        <w:t xml:space="preserve"> assessment, (Page 5-8). Feel free to fill out the pre-educational assessments (page 2-4) at this time, however, please do not fill out the </w:t>
      </w:r>
      <w:proofErr w:type="gramStart"/>
      <w:r>
        <w:rPr>
          <w:rFonts w:ascii="Calibri" w:eastAsia="Calibri" w:hAnsi="Calibri" w:cs="Calibri"/>
          <w:b/>
          <w:sz w:val="32"/>
          <w:szCs w:val="32"/>
          <w:u w:val="single"/>
        </w:rPr>
        <w:t>POST-educational</w:t>
      </w:r>
      <w:proofErr w:type="gramEnd"/>
      <w:r>
        <w:rPr>
          <w:rFonts w:ascii="Calibri" w:eastAsia="Calibri" w:hAnsi="Calibri" w:cs="Calibri"/>
          <w:b/>
          <w:sz w:val="32"/>
          <w:szCs w:val="32"/>
        </w:rPr>
        <w:t xml:space="preserve"> assessments (page 5-8) until you have completed the entire learning exercise. Do not hesitate to let us know if you have any questions and thank you for participating in our workshop.</w:t>
      </w:r>
    </w:p>
    <w:p w14:paraId="6EC99762" w14:textId="77777777" w:rsidR="00D401A7" w:rsidRDefault="00D401A7">
      <w:pPr>
        <w:spacing w:after="160" w:line="259" w:lineRule="auto"/>
        <w:rPr>
          <w:rFonts w:ascii="Calibri" w:eastAsia="Calibri" w:hAnsi="Calibri" w:cs="Calibri"/>
          <w:b/>
          <w:color w:val="C00000"/>
        </w:rPr>
      </w:pPr>
    </w:p>
    <w:p w14:paraId="46C16D22" w14:textId="77777777" w:rsidR="00D401A7" w:rsidRDefault="00D401A7">
      <w:pPr>
        <w:spacing w:after="160" w:line="259" w:lineRule="auto"/>
        <w:rPr>
          <w:rFonts w:ascii="Calibri" w:eastAsia="Calibri" w:hAnsi="Calibri" w:cs="Calibri"/>
          <w:b/>
          <w:color w:val="C00000"/>
        </w:rPr>
      </w:pPr>
    </w:p>
    <w:p w14:paraId="058485CD" w14:textId="77777777" w:rsidR="00D401A7" w:rsidRDefault="00D401A7">
      <w:pPr>
        <w:spacing w:after="160" w:line="259" w:lineRule="auto"/>
        <w:rPr>
          <w:rFonts w:ascii="Calibri" w:eastAsia="Calibri" w:hAnsi="Calibri" w:cs="Calibri"/>
          <w:b/>
          <w:color w:val="C00000"/>
        </w:rPr>
      </w:pPr>
    </w:p>
    <w:p w14:paraId="480DB1C9" w14:textId="77777777" w:rsidR="00D401A7" w:rsidRDefault="00D401A7">
      <w:pPr>
        <w:spacing w:after="160" w:line="259" w:lineRule="auto"/>
        <w:rPr>
          <w:rFonts w:ascii="Calibri" w:eastAsia="Calibri" w:hAnsi="Calibri" w:cs="Calibri"/>
          <w:b/>
          <w:color w:val="C00000"/>
        </w:rPr>
      </w:pPr>
    </w:p>
    <w:p w14:paraId="506A3B38" w14:textId="77777777" w:rsidR="00D401A7" w:rsidRDefault="00D401A7">
      <w:pPr>
        <w:spacing w:after="160" w:line="259" w:lineRule="auto"/>
        <w:rPr>
          <w:rFonts w:ascii="Calibri" w:eastAsia="Calibri" w:hAnsi="Calibri" w:cs="Calibri"/>
          <w:b/>
          <w:color w:val="C00000"/>
        </w:rPr>
      </w:pPr>
    </w:p>
    <w:p w14:paraId="166EACF6" w14:textId="77777777" w:rsidR="00D401A7" w:rsidRDefault="00D401A7">
      <w:pPr>
        <w:spacing w:after="160" w:line="259" w:lineRule="auto"/>
        <w:rPr>
          <w:rFonts w:ascii="Calibri" w:eastAsia="Calibri" w:hAnsi="Calibri" w:cs="Calibri"/>
          <w:b/>
          <w:color w:val="C00000"/>
        </w:rPr>
      </w:pPr>
    </w:p>
    <w:p w14:paraId="2EEE1623" w14:textId="77777777" w:rsidR="00D401A7" w:rsidRDefault="00000000">
      <w:pPr>
        <w:spacing w:after="160" w:line="259" w:lineRule="auto"/>
        <w:jc w:val="center"/>
        <w:rPr>
          <w:rFonts w:ascii="Calibri" w:eastAsia="Calibri" w:hAnsi="Calibri" w:cs="Calibri"/>
          <w:b/>
          <w:sz w:val="28"/>
          <w:szCs w:val="28"/>
        </w:rPr>
      </w:pPr>
      <w:r>
        <w:rPr>
          <w:rFonts w:ascii="Calibri" w:eastAsia="Calibri" w:hAnsi="Calibri" w:cs="Calibri"/>
          <w:b/>
          <w:noProof/>
          <w:color w:val="C00000"/>
        </w:rPr>
        <w:drawing>
          <wp:inline distT="114300" distB="114300" distL="114300" distR="114300" wp14:anchorId="72CA7AB9" wp14:editId="5CD3105A">
            <wp:extent cx="4433888" cy="1854559"/>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a:stretch>
                      <a:fillRect/>
                    </a:stretch>
                  </pic:blipFill>
                  <pic:spPr>
                    <a:xfrm>
                      <a:off x="0" y="0"/>
                      <a:ext cx="4433888" cy="1854559"/>
                    </a:xfrm>
                    <a:prstGeom prst="rect">
                      <a:avLst/>
                    </a:prstGeom>
                    <a:ln/>
                  </pic:spPr>
                </pic:pic>
              </a:graphicData>
            </a:graphic>
          </wp:inline>
        </w:drawing>
      </w:r>
    </w:p>
    <w:p w14:paraId="7ED3FC1A" w14:textId="77777777" w:rsidR="00D401A7" w:rsidRDefault="00D401A7">
      <w:pPr>
        <w:spacing w:after="160" w:line="259" w:lineRule="auto"/>
        <w:jc w:val="center"/>
        <w:rPr>
          <w:rFonts w:ascii="Calibri" w:eastAsia="Calibri" w:hAnsi="Calibri" w:cs="Calibri"/>
          <w:b/>
          <w:sz w:val="28"/>
          <w:szCs w:val="28"/>
        </w:rPr>
      </w:pPr>
    </w:p>
    <w:p w14:paraId="257B64E9" w14:textId="77777777" w:rsidR="00D401A7" w:rsidRDefault="00000000">
      <w:pPr>
        <w:spacing w:after="160" w:line="259" w:lineRule="auto"/>
        <w:jc w:val="center"/>
        <w:rPr>
          <w:rFonts w:ascii="Calibri" w:eastAsia="Calibri" w:hAnsi="Calibri" w:cs="Calibri"/>
          <w:b/>
          <w:sz w:val="28"/>
          <w:szCs w:val="28"/>
        </w:rPr>
      </w:pPr>
      <w:r>
        <w:rPr>
          <w:rFonts w:ascii="Calibri" w:eastAsia="Calibri" w:hAnsi="Calibri" w:cs="Calibri"/>
          <w:b/>
          <w:sz w:val="28"/>
          <w:szCs w:val="28"/>
        </w:rPr>
        <w:t>Participant Demographics</w:t>
      </w:r>
    </w:p>
    <w:p w14:paraId="09DB150A" w14:textId="77777777" w:rsidR="00D401A7" w:rsidRDefault="00000000">
      <w:pPr>
        <w:spacing w:after="160" w:line="360" w:lineRule="auto"/>
        <w:ind w:right="-540"/>
        <w:jc w:val="center"/>
        <w:rPr>
          <w:rFonts w:ascii="Calibri" w:eastAsia="Calibri" w:hAnsi="Calibri" w:cs="Calibri"/>
          <w:sz w:val="24"/>
          <w:szCs w:val="24"/>
        </w:rPr>
      </w:pPr>
      <w:r>
        <w:rPr>
          <w:rFonts w:ascii="Calibri" w:eastAsia="Calibri" w:hAnsi="Calibri" w:cs="Calibri"/>
          <w:sz w:val="24"/>
          <w:szCs w:val="24"/>
        </w:rPr>
        <w:t xml:space="preserve">Please answer the following questions by filling in the blank and/or circling </w:t>
      </w:r>
      <w:r>
        <w:rPr>
          <w:rFonts w:ascii="Calibri" w:eastAsia="Calibri" w:hAnsi="Calibri" w:cs="Calibri"/>
          <w:sz w:val="24"/>
          <w:szCs w:val="24"/>
          <w:u w:val="single"/>
        </w:rPr>
        <w:t>only one answer per question</w:t>
      </w:r>
      <w:r>
        <w:rPr>
          <w:rFonts w:ascii="Calibri" w:eastAsia="Calibri" w:hAnsi="Calibri" w:cs="Calibri"/>
          <w:sz w:val="24"/>
          <w:szCs w:val="24"/>
        </w:rPr>
        <w:t xml:space="preserve">. </w:t>
      </w:r>
    </w:p>
    <w:p w14:paraId="34C2E4AB" w14:textId="77777777" w:rsidR="00D401A7" w:rsidRDefault="00000000">
      <w:pPr>
        <w:numPr>
          <w:ilvl w:val="0"/>
          <w:numId w:val="10"/>
        </w:numPr>
        <w:spacing w:line="360" w:lineRule="auto"/>
        <w:rPr>
          <w:rFonts w:ascii="Calibri" w:eastAsia="Calibri" w:hAnsi="Calibri" w:cs="Calibri"/>
          <w:sz w:val="24"/>
          <w:szCs w:val="24"/>
        </w:rPr>
      </w:pPr>
      <w:r>
        <w:rPr>
          <w:rFonts w:ascii="Calibri" w:eastAsia="Calibri" w:hAnsi="Calibri" w:cs="Calibri"/>
          <w:sz w:val="24"/>
          <w:szCs w:val="24"/>
        </w:rPr>
        <w:t xml:space="preserve">How many years of experience do you have as a CRNA? _____________________          </w:t>
      </w:r>
    </w:p>
    <w:p w14:paraId="33CB4B44" w14:textId="77777777" w:rsidR="00D401A7" w:rsidRDefault="00000000">
      <w:pPr>
        <w:numPr>
          <w:ilvl w:val="0"/>
          <w:numId w:val="10"/>
        </w:numPr>
        <w:spacing w:line="360" w:lineRule="auto"/>
        <w:rPr>
          <w:rFonts w:ascii="Calibri" w:eastAsia="Calibri" w:hAnsi="Calibri" w:cs="Calibri"/>
          <w:sz w:val="24"/>
          <w:szCs w:val="24"/>
        </w:rPr>
      </w:pPr>
      <w:r>
        <w:rPr>
          <w:rFonts w:ascii="Calibri" w:eastAsia="Calibri" w:hAnsi="Calibri" w:cs="Calibri"/>
          <w:sz w:val="24"/>
          <w:szCs w:val="24"/>
        </w:rPr>
        <w:t xml:space="preserve">How long has it been since you received formal education regarding performance of a cricothyrotomy? ____________________________________ </w:t>
      </w:r>
    </w:p>
    <w:p w14:paraId="19132CB3" w14:textId="77777777" w:rsidR="00D401A7" w:rsidRDefault="00000000">
      <w:pPr>
        <w:numPr>
          <w:ilvl w:val="0"/>
          <w:numId w:val="10"/>
        </w:numPr>
        <w:spacing w:line="360" w:lineRule="auto"/>
        <w:rPr>
          <w:rFonts w:ascii="Calibri" w:eastAsia="Calibri" w:hAnsi="Calibri" w:cs="Calibri"/>
          <w:sz w:val="24"/>
          <w:szCs w:val="24"/>
        </w:rPr>
      </w:pPr>
      <w:r>
        <w:rPr>
          <w:rFonts w:ascii="Calibri" w:eastAsia="Calibri" w:hAnsi="Calibri" w:cs="Calibri"/>
          <w:sz w:val="24"/>
          <w:szCs w:val="24"/>
        </w:rPr>
        <w:t xml:space="preserve">Have you been in a situation requiring emergent cricothyrotomy?  (please </w:t>
      </w:r>
      <w:proofErr w:type="gramStart"/>
      <w:r>
        <w:rPr>
          <w:rFonts w:ascii="Calibri" w:eastAsia="Calibri" w:hAnsi="Calibri" w:cs="Calibri"/>
          <w:sz w:val="24"/>
          <w:szCs w:val="24"/>
        </w:rPr>
        <w:t xml:space="preserve">circle)  </w:t>
      </w:r>
      <w:r>
        <w:rPr>
          <w:rFonts w:ascii="Calibri" w:eastAsia="Calibri" w:hAnsi="Calibri" w:cs="Calibri"/>
          <w:b/>
          <w:sz w:val="24"/>
          <w:szCs w:val="24"/>
        </w:rPr>
        <w:t xml:space="preserve"> </w:t>
      </w:r>
      <w:proofErr w:type="gramEnd"/>
      <w:r>
        <w:rPr>
          <w:rFonts w:ascii="Calibri" w:eastAsia="Calibri" w:hAnsi="Calibri" w:cs="Calibri"/>
          <w:b/>
          <w:sz w:val="24"/>
          <w:szCs w:val="24"/>
        </w:rPr>
        <w:t>YES   /   NO</w:t>
      </w:r>
    </w:p>
    <w:p w14:paraId="0FA67CF6" w14:textId="77777777" w:rsidR="00D401A7" w:rsidRDefault="00000000">
      <w:pPr>
        <w:numPr>
          <w:ilvl w:val="0"/>
          <w:numId w:val="10"/>
        </w:numPr>
        <w:spacing w:line="360" w:lineRule="auto"/>
        <w:rPr>
          <w:rFonts w:ascii="Calibri" w:eastAsia="Calibri" w:hAnsi="Calibri" w:cs="Calibri"/>
          <w:sz w:val="24"/>
          <w:szCs w:val="24"/>
        </w:rPr>
      </w:pPr>
      <w:r>
        <w:rPr>
          <w:rFonts w:ascii="Calibri" w:eastAsia="Calibri" w:hAnsi="Calibri" w:cs="Calibri"/>
          <w:sz w:val="24"/>
          <w:szCs w:val="24"/>
        </w:rPr>
        <w:t xml:space="preserve">Have you performed a cricothyrotomy on an actual patient?  (please </w:t>
      </w:r>
      <w:proofErr w:type="gramStart"/>
      <w:r>
        <w:rPr>
          <w:rFonts w:ascii="Calibri" w:eastAsia="Calibri" w:hAnsi="Calibri" w:cs="Calibri"/>
          <w:sz w:val="24"/>
          <w:szCs w:val="24"/>
        </w:rPr>
        <w:t xml:space="preserve">circle)   </w:t>
      </w:r>
      <w:proofErr w:type="gramEnd"/>
      <w:r>
        <w:rPr>
          <w:rFonts w:ascii="Calibri" w:eastAsia="Calibri" w:hAnsi="Calibri" w:cs="Calibri"/>
          <w:b/>
          <w:sz w:val="24"/>
          <w:szCs w:val="24"/>
        </w:rPr>
        <w:t>YES   /   NO</w:t>
      </w:r>
    </w:p>
    <w:p w14:paraId="0114AA1C" w14:textId="77777777" w:rsidR="00D401A7" w:rsidRDefault="00000000">
      <w:pPr>
        <w:numPr>
          <w:ilvl w:val="0"/>
          <w:numId w:val="10"/>
        </w:numPr>
        <w:spacing w:after="160" w:line="360" w:lineRule="auto"/>
        <w:rPr>
          <w:rFonts w:ascii="Calibri" w:eastAsia="Calibri" w:hAnsi="Calibri" w:cs="Calibri"/>
          <w:sz w:val="24"/>
          <w:szCs w:val="24"/>
        </w:rPr>
      </w:pPr>
      <w:r>
        <w:rPr>
          <w:rFonts w:ascii="Calibri" w:eastAsia="Calibri" w:hAnsi="Calibri" w:cs="Calibri"/>
          <w:sz w:val="24"/>
          <w:szCs w:val="24"/>
        </w:rPr>
        <w:t xml:space="preserve">Education level?   </w:t>
      </w:r>
      <w:proofErr w:type="gramStart"/>
      <w:r>
        <w:rPr>
          <w:rFonts w:ascii="Calibri" w:eastAsia="Calibri" w:hAnsi="Calibri" w:cs="Calibri"/>
          <w:b/>
          <w:sz w:val="24"/>
          <w:szCs w:val="24"/>
        </w:rPr>
        <w:t>Bachelor’s  /</w:t>
      </w:r>
      <w:proofErr w:type="gramEnd"/>
      <w:r>
        <w:rPr>
          <w:rFonts w:ascii="Calibri" w:eastAsia="Calibri" w:hAnsi="Calibri" w:cs="Calibri"/>
          <w:b/>
          <w:sz w:val="24"/>
          <w:szCs w:val="24"/>
        </w:rPr>
        <w:t xml:space="preserve">   Master’s     /    Doctorate</w:t>
      </w:r>
    </w:p>
    <w:p w14:paraId="10CEA541" w14:textId="77777777" w:rsidR="00D401A7" w:rsidRDefault="00D401A7">
      <w:pPr>
        <w:spacing w:after="160" w:line="259" w:lineRule="auto"/>
        <w:jc w:val="center"/>
        <w:rPr>
          <w:rFonts w:ascii="Calibri" w:eastAsia="Calibri" w:hAnsi="Calibri" w:cs="Calibri"/>
          <w:b/>
          <w:sz w:val="28"/>
          <w:szCs w:val="28"/>
        </w:rPr>
      </w:pPr>
    </w:p>
    <w:p w14:paraId="62A6611D" w14:textId="77777777" w:rsidR="00D401A7" w:rsidRDefault="00D401A7">
      <w:pPr>
        <w:spacing w:after="160" w:line="259" w:lineRule="auto"/>
        <w:jc w:val="center"/>
        <w:rPr>
          <w:rFonts w:ascii="Calibri" w:eastAsia="Calibri" w:hAnsi="Calibri" w:cs="Calibri"/>
          <w:b/>
          <w:sz w:val="28"/>
          <w:szCs w:val="28"/>
        </w:rPr>
      </w:pPr>
    </w:p>
    <w:p w14:paraId="23E88B36" w14:textId="77777777" w:rsidR="00D401A7" w:rsidRDefault="00D401A7">
      <w:pPr>
        <w:spacing w:after="160" w:line="259" w:lineRule="auto"/>
        <w:jc w:val="center"/>
        <w:rPr>
          <w:rFonts w:ascii="Calibri" w:eastAsia="Calibri" w:hAnsi="Calibri" w:cs="Calibri"/>
          <w:b/>
          <w:sz w:val="28"/>
          <w:szCs w:val="28"/>
        </w:rPr>
      </w:pPr>
    </w:p>
    <w:p w14:paraId="2B31678B" w14:textId="77777777" w:rsidR="00D401A7" w:rsidRDefault="00D401A7">
      <w:pPr>
        <w:spacing w:after="160" w:line="259" w:lineRule="auto"/>
        <w:jc w:val="center"/>
        <w:rPr>
          <w:rFonts w:ascii="Calibri" w:eastAsia="Calibri" w:hAnsi="Calibri" w:cs="Calibri"/>
          <w:b/>
          <w:sz w:val="28"/>
          <w:szCs w:val="28"/>
        </w:rPr>
      </w:pPr>
    </w:p>
    <w:p w14:paraId="215DF991" w14:textId="77777777" w:rsidR="00D401A7" w:rsidRDefault="00D401A7">
      <w:pPr>
        <w:spacing w:after="160" w:line="259" w:lineRule="auto"/>
        <w:jc w:val="center"/>
        <w:rPr>
          <w:rFonts w:ascii="Calibri" w:eastAsia="Calibri" w:hAnsi="Calibri" w:cs="Calibri"/>
          <w:b/>
          <w:sz w:val="28"/>
          <w:szCs w:val="28"/>
        </w:rPr>
      </w:pPr>
    </w:p>
    <w:p w14:paraId="2D3C00C0" w14:textId="77777777" w:rsidR="00D401A7" w:rsidRDefault="00D401A7">
      <w:pPr>
        <w:spacing w:after="160" w:line="259" w:lineRule="auto"/>
        <w:jc w:val="center"/>
        <w:rPr>
          <w:rFonts w:ascii="Calibri" w:eastAsia="Calibri" w:hAnsi="Calibri" w:cs="Calibri"/>
          <w:b/>
          <w:sz w:val="28"/>
          <w:szCs w:val="28"/>
        </w:rPr>
      </w:pPr>
    </w:p>
    <w:p w14:paraId="71F58DC1" w14:textId="77777777" w:rsidR="00D401A7" w:rsidRDefault="00D401A7">
      <w:pPr>
        <w:spacing w:after="160" w:line="259" w:lineRule="auto"/>
        <w:jc w:val="center"/>
        <w:rPr>
          <w:rFonts w:ascii="Calibri" w:eastAsia="Calibri" w:hAnsi="Calibri" w:cs="Calibri"/>
          <w:b/>
          <w:sz w:val="28"/>
          <w:szCs w:val="28"/>
        </w:rPr>
      </w:pPr>
    </w:p>
    <w:p w14:paraId="744C144E" w14:textId="77777777" w:rsidR="00D401A7" w:rsidRDefault="00D401A7">
      <w:pPr>
        <w:spacing w:after="160" w:line="259" w:lineRule="auto"/>
        <w:jc w:val="center"/>
        <w:rPr>
          <w:rFonts w:ascii="Calibri" w:eastAsia="Calibri" w:hAnsi="Calibri" w:cs="Calibri"/>
          <w:b/>
          <w:sz w:val="28"/>
          <w:szCs w:val="28"/>
        </w:rPr>
      </w:pPr>
    </w:p>
    <w:p w14:paraId="25B3E375" w14:textId="77777777" w:rsidR="00D401A7" w:rsidRDefault="00D401A7">
      <w:pPr>
        <w:spacing w:after="160" w:line="259" w:lineRule="auto"/>
        <w:jc w:val="center"/>
        <w:rPr>
          <w:rFonts w:ascii="Calibri" w:eastAsia="Calibri" w:hAnsi="Calibri" w:cs="Calibri"/>
          <w:b/>
          <w:sz w:val="28"/>
          <w:szCs w:val="28"/>
        </w:rPr>
      </w:pPr>
    </w:p>
    <w:p w14:paraId="0129C15F" w14:textId="77777777" w:rsidR="00D401A7" w:rsidRDefault="00D401A7">
      <w:pPr>
        <w:spacing w:after="160" w:line="259" w:lineRule="auto"/>
        <w:jc w:val="center"/>
        <w:rPr>
          <w:rFonts w:ascii="Calibri" w:eastAsia="Calibri" w:hAnsi="Calibri" w:cs="Calibri"/>
          <w:b/>
          <w:sz w:val="28"/>
          <w:szCs w:val="28"/>
        </w:rPr>
      </w:pPr>
    </w:p>
    <w:p w14:paraId="39EC0007" w14:textId="77777777" w:rsidR="00D401A7" w:rsidRDefault="00D401A7">
      <w:pPr>
        <w:spacing w:after="160" w:line="259" w:lineRule="auto"/>
        <w:jc w:val="center"/>
        <w:rPr>
          <w:rFonts w:ascii="Calibri" w:eastAsia="Calibri" w:hAnsi="Calibri" w:cs="Calibri"/>
          <w:b/>
          <w:sz w:val="28"/>
          <w:szCs w:val="28"/>
        </w:rPr>
      </w:pPr>
    </w:p>
    <w:p w14:paraId="2DC9CDF5" w14:textId="77777777" w:rsidR="00D401A7" w:rsidRDefault="00D401A7">
      <w:pPr>
        <w:spacing w:after="160" w:line="259" w:lineRule="auto"/>
        <w:jc w:val="center"/>
        <w:rPr>
          <w:rFonts w:ascii="Calibri" w:eastAsia="Calibri" w:hAnsi="Calibri" w:cs="Calibri"/>
          <w:b/>
          <w:sz w:val="28"/>
          <w:szCs w:val="28"/>
        </w:rPr>
      </w:pPr>
    </w:p>
    <w:p w14:paraId="31EF04E6" w14:textId="77777777" w:rsidR="00D401A7" w:rsidRDefault="00D401A7">
      <w:pPr>
        <w:spacing w:after="160" w:line="259" w:lineRule="auto"/>
        <w:jc w:val="center"/>
        <w:rPr>
          <w:rFonts w:ascii="Calibri" w:eastAsia="Calibri" w:hAnsi="Calibri" w:cs="Calibri"/>
          <w:b/>
          <w:sz w:val="28"/>
          <w:szCs w:val="28"/>
        </w:rPr>
      </w:pPr>
    </w:p>
    <w:p w14:paraId="399BBDAD" w14:textId="77777777" w:rsidR="00D401A7" w:rsidRDefault="00D401A7">
      <w:pPr>
        <w:spacing w:after="160" w:line="259" w:lineRule="auto"/>
        <w:rPr>
          <w:rFonts w:ascii="Calibri" w:eastAsia="Calibri" w:hAnsi="Calibri" w:cs="Calibri"/>
          <w:b/>
          <w:sz w:val="28"/>
          <w:szCs w:val="28"/>
        </w:rPr>
      </w:pPr>
    </w:p>
    <w:p w14:paraId="26C872B0" w14:textId="77777777" w:rsidR="00D401A7" w:rsidRDefault="00D401A7">
      <w:pPr>
        <w:spacing w:after="160" w:line="259" w:lineRule="auto"/>
        <w:rPr>
          <w:rFonts w:ascii="Calibri" w:eastAsia="Calibri" w:hAnsi="Calibri" w:cs="Calibri"/>
          <w:b/>
          <w:sz w:val="28"/>
          <w:szCs w:val="28"/>
        </w:rPr>
      </w:pPr>
    </w:p>
    <w:p w14:paraId="72E47F6F" w14:textId="77777777" w:rsidR="00D401A7" w:rsidRDefault="00D401A7">
      <w:pPr>
        <w:spacing w:after="160" w:line="259" w:lineRule="auto"/>
        <w:rPr>
          <w:rFonts w:ascii="Calibri" w:eastAsia="Calibri" w:hAnsi="Calibri" w:cs="Calibri"/>
          <w:b/>
          <w:sz w:val="28"/>
          <w:szCs w:val="28"/>
        </w:rPr>
      </w:pPr>
    </w:p>
    <w:p w14:paraId="42F9B9B0" w14:textId="77777777" w:rsidR="00D401A7" w:rsidRDefault="00000000">
      <w:pPr>
        <w:spacing w:after="160" w:line="259" w:lineRule="auto"/>
        <w:jc w:val="center"/>
        <w:rPr>
          <w:rFonts w:ascii="Calibri" w:eastAsia="Calibri" w:hAnsi="Calibri" w:cs="Calibri"/>
          <w:b/>
          <w:color w:val="C00000"/>
        </w:rPr>
      </w:pPr>
      <w:r>
        <w:rPr>
          <w:rFonts w:ascii="Calibri" w:eastAsia="Calibri" w:hAnsi="Calibri" w:cs="Calibri"/>
          <w:b/>
          <w:sz w:val="28"/>
          <w:szCs w:val="28"/>
        </w:rPr>
        <w:t>Pre-educational Confidence assessment</w:t>
      </w:r>
      <w:r>
        <w:rPr>
          <w:rFonts w:ascii="Calibri" w:eastAsia="Calibri" w:hAnsi="Calibri" w:cs="Calibri"/>
          <w:b/>
          <w:color w:val="C00000"/>
        </w:rPr>
        <w:t xml:space="preserve"> </w:t>
      </w:r>
    </w:p>
    <w:p w14:paraId="0155723A" w14:textId="77777777" w:rsidR="00D401A7" w:rsidRDefault="00000000">
      <w:pPr>
        <w:spacing w:after="160" w:line="240" w:lineRule="auto"/>
        <w:ind w:right="-540"/>
        <w:jc w:val="center"/>
        <w:rPr>
          <w:rFonts w:ascii="Calibri" w:eastAsia="Calibri" w:hAnsi="Calibri" w:cs="Calibri"/>
          <w:sz w:val="24"/>
          <w:szCs w:val="24"/>
        </w:rPr>
      </w:pPr>
      <w:r>
        <w:rPr>
          <w:rFonts w:ascii="Calibri" w:eastAsia="Calibri" w:hAnsi="Calibri" w:cs="Calibri"/>
          <w:sz w:val="24"/>
          <w:szCs w:val="24"/>
        </w:rPr>
        <w:t xml:space="preserve">Please answer the following questions by circling </w:t>
      </w:r>
      <w:r>
        <w:rPr>
          <w:rFonts w:ascii="Calibri" w:eastAsia="Calibri" w:hAnsi="Calibri" w:cs="Calibri"/>
          <w:sz w:val="24"/>
          <w:szCs w:val="24"/>
          <w:u w:val="single"/>
        </w:rPr>
        <w:t>only one response per question</w:t>
      </w:r>
      <w:r>
        <w:rPr>
          <w:rFonts w:ascii="Calibri" w:eastAsia="Calibri" w:hAnsi="Calibri" w:cs="Calibri"/>
          <w:sz w:val="24"/>
          <w:szCs w:val="24"/>
        </w:rPr>
        <w:t xml:space="preserve">. </w:t>
      </w:r>
    </w:p>
    <w:p w14:paraId="460BD404" w14:textId="77777777" w:rsidR="00D401A7" w:rsidRDefault="00000000">
      <w:pPr>
        <w:numPr>
          <w:ilvl w:val="0"/>
          <w:numId w:val="8"/>
        </w:numPr>
        <w:spacing w:after="160"/>
        <w:ind w:right="-540"/>
        <w:rPr>
          <w:rFonts w:ascii="Calibri" w:eastAsia="Calibri" w:hAnsi="Calibri" w:cs="Calibri"/>
          <w:b/>
          <w:sz w:val="24"/>
          <w:szCs w:val="24"/>
        </w:rPr>
      </w:pPr>
      <w:r>
        <w:rPr>
          <w:rFonts w:ascii="Calibri" w:eastAsia="Calibri" w:hAnsi="Calibri" w:cs="Calibri"/>
          <w:b/>
          <w:sz w:val="24"/>
          <w:szCs w:val="24"/>
        </w:rPr>
        <w:t>How confident are you in recognizing the need to perform a cricothyrotomy?</w:t>
      </w:r>
    </w:p>
    <w:tbl>
      <w:tblPr>
        <w:tblStyle w:val="affff2"/>
        <w:tblW w:w="945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860"/>
        <w:gridCol w:w="1860"/>
        <w:gridCol w:w="1860"/>
        <w:gridCol w:w="1860"/>
      </w:tblGrid>
      <w:tr w:rsidR="00D401A7" w14:paraId="089376A7" w14:textId="77777777">
        <w:tc>
          <w:tcPr>
            <w:tcW w:w="2010" w:type="dxa"/>
            <w:tcBorders>
              <w:top w:val="nil"/>
              <w:left w:val="nil"/>
              <w:bottom w:val="nil"/>
              <w:right w:val="nil"/>
            </w:tcBorders>
            <w:shd w:val="clear" w:color="auto" w:fill="auto"/>
            <w:tcMar>
              <w:top w:w="100" w:type="dxa"/>
              <w:left w:w="100" w:type="dxa"/>
              <w:bottom w:w="100" w:type="dxa"/>
              <w:right w:w="100" w:type="dxa"/>
            </w:tcMar>
          </w:tcPr>
          <w:p w14:paraId="4ED17917"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551F5247"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2DA44F5A"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1384F635"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6EE5FFCE"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1C3B9F0A" w14:textId="77777777" w:rsidR="00D401A7" w:rsidRDefault="00D401A7">
      <w:pPr>
        <w:spacing w:after="160" w:line="240" w:lineRule="auto"/>
        <w:ind w:right="-540"/>
        <w:rPr>
          <w:rFonts w:ascii="Calibri" w:eastAsia="Calibri" w:hAnsi="Calibri" w:cs="Calibri"/>
          <w:sz w:val="24"/>
          <w:szCs w:val="24"/>
        </w:rPr>
      </w:pPr>
    </w:p>
    <w:p w14:paraId="36510937" w14:textId="77777777" w:rsidR="00D401A7" w:rsidRDefault="00D401A7">
      <w:pPr>
        <w:spacing w:after="160" w:line="240" w:lineRule="auto"/>
        <w:ind w:left="1440" w:right="-540"/>
        <w:rPr>
          <w:rFonts w:ascii="Calibri" w:eastAsia="Calibri" w:hAnsi="Calibri" w:cs="Calibri"/>
          <w:sz w:val="24"/>
          <w:szCs w:val="24"/>
        </w:rPr>
      </w:pPr>
    </w:p>
    <w:p w14:paraId="5DDB60DD" w14:textId="77777777" w:rsidR="00D401A7" w:rsidRDefault="00000000">
      <w:pPr>
        <w:numPr>
          <w:ilvl w:val="0"/>
          <w:numId w:val="8"/>
        </w:numPr>
        <w:spacing w:after="160"/>
        <w:ind w:right="-540"/>
        <w:rPr>
          <w:rFonts w:ascii="Calibri" w:eastAsia="Calibri" w:hAnsi="Calibri" w:cs="Calibri"/>
          <w:b/>
          <w:sz w:val="24"/>
          <w:szCs w:val="24"/>
        </w:rPr>
      </w:pPr>
      <w:r>
        <w:rPr>
          <w:rFonts w:ascii="Calibri" w:eastAsia="Calibri" w:hAnsi="Calibri" w:cs="Calibri"/>
          <w:b/>
          <w:sz w:val="24"/>
          <w:szCs w:val="24"/>
        </w:rPr>
        <w:t>How confident are you in identifying appropriate anatomical landmarks to perform a cricothyrotomy?</w:t>
      </w:r>
    </w:p>
    <w:tbl>
      <w:tblPr>
        <w:tblStyle w:val="affff3"/>
        <w:tblW w:w="9495" w:type="dxa"/>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1860"/>
        <w:gridCol w:w="1860"/>
        <w:gridCol w:w="1860"/>
        <w:gridCol w:w="1860"/>
      </w:tblGrid>
      <w:tr w:rsidR="00D401A7" w14:paraId="19244119" w14:textId="77777777">
        <w:tc>
          <w:tcPr>
            <w:tcW w:w="2055" w:type="dxa"/>
            <w:tcBorders>
              <w:top w:val="nil"/>
              <w:left w:val="nil"/>
              <w:bottom w:val="nil"/>
              <w:right w:val="nil"/>
            </w:tcBorders>
            <w:shd w:val="clear" w:color="auto" w:fill="auto"/>
            <w:tcMar>
              <w:top w:w="100" w:type="dxa"/>
              <w:left w:w="100" w:type="dxa"/>
              <w:bottom w:w="100" w:type="dxa"/>
              <w:right w:w="100" w:type="dxa"/>
            </w:tcMar>
          </w:tcPr>
          <w:p w14:paraId="441FEEFA"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181FCDDB"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172906A7"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1BF10212"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07E9385F"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1EE2127B" w14:textId="77777777" w:rsidR="00D401A7" w:rsidRDefault="00D401A7">
      <w:pPr>
        <w:spacing w:after="160" w:line="240" w:lineRule="auto"/>
        <w:ind w:right="-540"/>
        <w:rPr>
          <w:rFonts w:ascii="Calibri" w:eastAsia="Calibri" w:hAnsi="Calibri" w:cs="Calibri"/>
          <w:sz w:val="24"/>
          <w:szCs w:val="24"/>
        </w:rPr>
      </w:pPr>
    </w:p>
    <w:p w14:paraId="61EBCD93" w14:textId="77777777" w:rsidR="00D401A7" w:rsidRDefault="00D401A7">
      <w:pPr>
        <w:spacing w:after="160" w:line="240" w:lineRule="auto"/>
        <w:ind w:right="-540"/>
        <w:rPr>
          <w:rFonts w:ascii="Calibri" w:eastAsia="Calibri" w:hAnsi="Calibri" w:cs="Calibri"/>
          <w:sz w:val="24"/>
          <w:szCs w:val="24"/>
        </w:rPr>
      </w:pPr>
    </w:p>
    <w:p w14:paraId="2E3A78E3" w14:textId="77777777" w:rsidR="00D401A7" w:rsidRDefault="00000000">
      <w:pPr>
        <w:numPr>
          <w:ilvl w:val="0"/>
          <w:numId w:val="8"/>
        </w:numPr>
        <w:spacing w:after="160"/>
        <w:ind w:right="-540"/>
        <w:rPr>
          <w:rFonts w:ascii="Calibri" w:eastAsia="Calibri" w:hAnsi="Calibri" w:cs="Calibri"/>
          <w:b/>
          <w:sz w:val="24"/>
          <w:szCs w:val="24"/>
        </w:rPr>
      </w:pPr>
      <w:r>
        <w:rPr>
          <w:rFonts w:ascii="Calibri" w:eastAsia="Calibri" w:hAnsi="Calibri" w:cs="Calibri"/>
          <w:b/>
          <w:sz w:val="24"/>
          <w:szCs w:val="24"/>
        </w:rPr>
        <w:t>How confident are you in securing an airway via cricothyrotomy?</w:t>
      </w:r>
    </w:p>
    <w:tbl>
      <w:tblPr>
        <w:tblStyle w:val="affff4"/>
        <w:tblW w:w="948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860"/>
        <w:gridCol w:w="1860"/>
        <w:gridCol w:w="1860"/>
        <w:gridCol w:w="1860"/>
      </w:tblGrid>
      <w:tr w:rsidR="00D401A7" w14:paraId="757BA15C" w14:textId="77777777">
        <w:tc>
          <w:tcPr>
            <w:tcW w:w="2040" w:type="dxa"/>
            <w:tcBorders>
              <w:top w:val="nil"/>
              <w:left w:val="nil"/>
              <w:bottom w:val="nil"/>
              <w:right w:val="nil"/>
            </w:tcBorders>
            <w:shd w:val="clear" w:color="auto" w:fill="auto"/>
            <w:tcMar>
              <w:top w:w="100" w:type="dxa"/>
              <w:left w:w="100" w:type="dxa"/>
              <w:bottom w:w="100" w:type="dxa"/>
              <w:right w:w="100" w:type="dxa"/>
            </w:tcMar>
          </w:tcPr>
          <w:p w14:paraId="143C794E"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6F065AD5"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61D791BE"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25FF0350"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432ECD02"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22EA4C3F" w14:textId="77777777" w:rsidR="00D401A7" w:rsidRDefault="00D401A7">
      <w:pPr>
        <w:spacing w:after="160" w:line="240" w:lineRule="auto"/>
        <w:ind w:right="-540"/>
        <w:rPr>
          <w:rFonts w:ascii="Calibri" w:eastAsia="Calibri" w:hAnsi="Calibri" w:cs="Calibri"/>
          <w:sz w:val="24"/>
          <w:szCs w:val="24"/>
        </w:rPr>
      </w:pPr>
    </w:p>
    <w:p w14:paraId="117BD040" w14:textId="77777777" w:rsidR="00D401A7" w:rsidRDefault="00D401A7">
      <w:pPr>
        <w:spacing w:after="160" w:line="240" w:lineRule="auto"/>
        <w:ind w:right="-540"/>
        <w:rPr>
          <w:rFonts w:ascii="Calibri" w:eastAsia="Calibri" w:hAnsi="Calibri" w:cs="Calibri"/>
          <w:sz w:val="24"/>
          <w:szCs w:val="24"/>
        </w:rPr>
      </w:pPr>
    </w:p>
    <w:p w14:paraId="55F0E60A" w14:textId="77777777" w:rsidR="00D401A7" w:rsidRDefault="00000000">
      <w:pPr>
        <w:numPr>
          <w:ilvl w:val="0"/>
          <w:numId w:val="8"/>
        </w:numPr>
        <w:spacing w:after="160"/>
        <w:ind w:right="-540"/>
        <w:rPr>
          <w:rFonts w:ascii="Calibri" w:eastAsia="Calibri" w:hAnsi="Calibri" w:cs="Calibri"/>
          <w:b/>
          <w:sz w:val="24"/>
          <w:szCs w:val="24"/>
        </w:rPr>
      </w:pPr>
      <w:r>
        <w:rPr>
          <w:rFonts w:ascii="Calibri" w:eastAsia="Calibri" w:hAnsi="Calibri" w:cs="Calibri"/>
          <w:b/>
          <w:sz w:val="24"/>
          <w:szCs w:val="24"/>
        </w:rPr>
        <w:t>How confident are you in managing the failed airway?</w:t>
      </w:r>
    </w:p>
    <w:tbl>
      <w:tblPr>
        <w:tblStyle w:val="affff5"/>
        <w:tblW w:w="94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860"/>
        <w:gridCol w:w="1860"/>
        <w:gridCol w:w="1860"/>
        <w:gridCol w:w="1860"/>
      </w:tblGrid>
      <w:tr w:rsidR="00D401A7" w14:paraId="243545A0" w14:textId="77777777">
        <w:tc>
          <w:tcPr>
            <w:tcW w:w="1980" w:type="dxa"/>
            <w:tcBorders>
              <w:top w:val="nil"/>
              <w:left w:val="nil"/>
              <w:bottom w:val="nil"/>
              <w:right w:val="nil"/>
            </w:tcBorders>
            <w:shd w:val="clear" w:color="auto" w:fill="auto"/>
            <w:tcMar>
              <w:top w:w="100" w:type="dxa"/>
              <w:left w:w="100" w:type="dxa"/>
              <w:bottom w:w="100" w:type="dxa"/>
              <w:right w:w="100" w:type="dxa"/>
            </w:tcMar>
          </w:tcPr>
          <w:p w14:paraId="15B5EFB8"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7FBA1066"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20141FDA"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3F16BF58"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66B761F1"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2ABCD442" w14:textId="77777777" w:rsidR="00D401A7" w:rsidRDefault="00D401A7">
      <w:pPr>
        <w:spacing w:after="160" w:line="240" w:lineRule="auto"/>
        <w:ind w:right="-540"/>
        <w:rPr>
          <w:rFonts w:ascii="Calibri" w:eastAsia="Calibri" w:hAnsi="Calibri" w:cs="Calibri"/>
        </w:rPr>
      </w:pPr>
    </w:p>
    <w:p w14:paraId="2927A63E" w14:textId="77777777" w:rsidR="00D401A7" w:rsidRDefault="00D401A7">
      <w:pPr>
        <w:spacing w:after="160" w:line="240" w:lineRule="auto"/>
        <w:ind w:right="-540"/>
        <w:rPr>
          <w:rFonts w:ascii="Calibri" w:eastAsia="Calibri" w:hAnsi="Calibri" w:cs="Calibri"/>
        </w:rPr>
      </w:pPr>
    </w:p>
    <w:p w14:paraId="71217030" w14:textId="77777777" w:rsidR="00D401A7" w:rsidRDefault="00D401A7">
      <w:pPr>
        <w:spacing w:after="160" w:line="240" w:lineRule="auto"/>
        <w:ind w:right="-540"/>
        <w:rPr>
          <w:rFonts w:ascii="Calibri" w:eastAsia="Calibri" w:hAnsi="Calibri" w:cs="Calibri"/>
        </w:rPr>
      </w:pPr>
    </w:p>
    <w:p w14:paraId="2AD9CF36" w14:textId="77777777" w:rsidR="00D401A7" w:rsidRDefault="00D401A7">
      <w:pPr>
        <w:spacing w:after="160" w:line="240" w:lineRule="auto"/>
        <w:ind w:right="-540"/>
        <w:rPr>
          <w:rFonts w:ascii="Calibri" w:eastAsia="Calibri" w:hAnsi="Calibri" w:cs="Calibri"/>
          <w:sz w:val="24"/>
          <w:szCs w:val="24"/>
        </w:rPr>
      </w:pPr>
    </w:p>
    <w:p w14:paraId="00EF0225" w14:textId="77777777" w:rsidR="00D401A7" w:rsidRDefault="00D401A7">
      <w:pPr>
        <w:spacing w:after="160" w:line="240" w:lineRule="auto"/>
        <w:ind w:right="-540"/>
        <w:rPr>
          <w:rFonts w:ascii="Calibri" w:eastAsia="Calibri" w:hAnsi="Calibri" w:cs="Calibri"/>
        </w:rPr>
      </w:pPr>
    </w:p>
    <w:p w14:paraId="6C31E968" w14:textId="77777777" w:rsidR="00D401A7" w:rsidRDefault="00D401A7">
      <w:pPr>
        <w:spacing w:after="160" w:line="240" w:lineRule="auto"/>
        <w:ind w:right="-540"/>
        <w:jc w:val="center"/>
        <w:rPr>
          <w:rFonts w:ascii="Calibri" w:eastAsia="Calibri" w:hAnsi="Calibri" w:cs="Calibri"/>
          <w:b/>
          <w:sz w:val="28"/>
          <w:szCs w:val="28"/>
        </w:rPr>
      </w:pPr>
    </w:p>
    <w:p w14:paraId="51D41BD0" w14:textId="77777777" w:rsidR="00D401A7" w:rsidRDefault="00D401A7">
      <w:pPr>
        <w:spacing w:after="160" w:line="240" w:lineRule="auto"/>
        <w:ind w:right="-540"/>
        <w:jc w:val="center"/>
        <w:rPr>
          <w:rFonts w:ascii="Calibri" w:eastAsia="Calibri" w:hAnsi="Calibri" w:cs="Calibri"/>
          <w:b/>
          <w:sz w:val="28"/>
          <w:szCs w:val="28"/>
        </w:rPr>
      </w:pPr>
    </w:p>
    <w:p w14:paraId="513BE8A2" w14:textId="77777777" w:rsidR="00D401A7" w:rsidRDefault="00D401A7">
      <w:pPr>
        <w:spacing w:after="160" w:line="240" w:lineRule="auto"/>
        <w:ind w:right="-540"/>
        <w:jc w:val="center"/>
        <w:rPr>
          <w:rFonts w:ascii="Calibri" w:eastAsia="Calibri" w:hAnsi="Calibri" w:cs="Calibri"/>
          <w:b/>
          <w:sz w:val="28"/>
          <w:szCs w:val="28"/>
        </w:rPr>
      </w:pPr>
    </w:p>
    <w:p w14:paraId="0258622D" w14:textId="77777777" w:rsidR="00D401A7" w:rsidRDefault="00D401A7">
      <w:pPr>
        <w:spacing w:after="160" w:line="240" w:lineRule="auto"/>
        <w:ind w:right="-540"/>
        <w:rPr>
          <w:rFonts w:ascii="Calibri" w:eastAsia="Calibri" w:hAnsi="Calibri" w:cs="Calibri"/>
          <w:b/>
          <w:sz w:val="28"/>
          <w:szCs w:val="28"/>
        </w:rPr>
      </w:pPr>
    </w:p>
    <w:p w14:paraId="13BB0B3A" w14:textId="77777777" w:rsidR="00D401A7" w:rsidRDefault="00D401A7">
      <w:pPr>
        <w:spacing w:after="160" w:line="240" w:lineRule="auto"/>
        <w:ind w:right="-540"/>
        <w:jc w:val="center"/>
        <w:rPr>
          <w:rFonts w:ascii="Calibri" w:eastAsia="Calibri" w:hAnsi="Calibri" w:cs="Calibri"/>
          <w:b/>
          <w:sz w:val="28"/>
          <w:szCs w:val="28"/>
        </w:rPr>
      </w:pPr>
    </w:p>
    <w:p w14:paraId="09AA705D" w14:textId="77777777" w:rsidR="00D401A7" w:rsidRDefault="00000000">
      <w:pPr>
        <w:spacing w:after="160" w:line="240" w:lineRule="auto"/>
        <w:ind w:right="-540"/>
        <w:jc w:val="center"/>
        <w:rPr>
          <w:rFonts w:ascii="Calibri" w:eastAsia="Calibri" w:hAnsi="Calibri" w:cs="Calibri"/>
          <w:b/>
          <w:sz w:val="28"/>
          <w:szCs w:val="28"/>
        </w:rPr>
      </w:pPr>
      <w:r>
        <w:rPr>
          <w:rFonts w:ascii="Calibri" w:eastAsia="Calibri" w:hAnsi="Calibri" w:cs="Calibri"/>
          <w:b/>
          <w:sz w:val="28"/>
          <w:szCs w:val="28"/>
        </w:rPr>
        <w:t xml:space="preserve">Pre-educational knowledge assessment </w:t>
      </w:r>
    </w:p>
    <w:p w14:paraId="6AA5646B" w14:textId="77777777" w:rsidR="00D401A7" w:rsidRDefault="00000000">
      <w:pPr>
        <w:spacing w:after="160" w:line="240" w:lineRule="auto"/>
        <w:ind w:right="-540"/>
        <w:jc w:val="center"/>
        <w:rPr>
          <w:rFonts w:ascii="Calibri" w:eastAsia="Calibri" w:hAnsi="Calibri" w:cs="Calibri"/>
        </w:rPr>
      </w:pPr>
      <w:r>
        <w:rPr>
          <w:rFonts w:ascii="Calibri" w:eastAsia="Calibri" w:hAnsi="Calibri" w:cs="Calibri"/>
        </w:rPr>
        <w:t xml:space="preserve">Please answer the following 10 questions by circling </w:t>
      </w:r>
      <w:r>
        <w:rPr>
          <w:rFonts w:ascii="Calibri" w:eastAsia="Calibri" w:hAnsi="Calibri" w:cs="Calibri"/>
          <w:u w:val="single"/>
        </w:rPr>
        <w:t>only one correct answer per question</w:t>
      </w:r>
      <w:r>
        <w:rPr>
          <w:rFonts w:ascii="Calibri" w:eastAsia="Calibri" w:hAnsi="Calibri" w:cs="Calibri"/>
        </w:rPr>
        <w:t>.</w:t>
      </w:r>
    </w:p>
    <w:p w14:paraId="660A4565" w14:textId="77777777" w:rsidR="00D401A7" w:rsidRDefault="00000000">
      <w:pPr>
        <w:numPr>
          <w:ilvl w:val="0"/>
          <w:numId w:val="9"/>
        </w:numPr>
        <w:spacing w:line="240" w:lineRule="auto"/>
        <w:ind w:right="-540"/>
        <w:rPr>
          <w:rFonts w:ascii="Calibri" w:eastAsia="Calibri" w:hAnsi="Calibri" w:cs="Calibri"/>
        </w:rPr>
      </w:pPr>
      <w:r>
        <w:rPr>
          <w:rFonts w:ascii="Calibri" w:eastAsia="Calibri" w:hAnsi="Calibri" w:cs="Calibri"/>
          <w:b/>
        </w:rPr>
        <w:t xml:space="preserve">True </w:t>
      </w:r>
      <w:r>
        <w:rPr>
          <w:rFonts w:ascii="Calibri" w:eastAsia="Calibri" w:hAnsi="Calibri" w:cs="Calibri"/>
        </w:rPr>
        <w:t xml:space="preserve">or </w:t>
      </w:r>
      <w:r>
        <w:rPr>
          <w:rFonts w:ascii="Calibri" w:eastAsia="Calibri" w:hAnsi="Calibri" w:cs="Calibri"/>
          <w:b/>
        </w:rPr>
        <w:t xml:space="preserve">False: </w:t>
      </w:r>
      <w:r>
        <w:rPr>
          <w:rFonts w:ascii="Calibri" w:eastAsia="Calibri" w:hAnsi="Calibri" w:cs="Calibri"/>
        </w:rPr>
        <w:t xml:space="preserve">The </w:t>
      </w:r>
      <w:proofErr w:type="spellStart"/>
      <w:r>
        <w:rPr>
          <w:rFonts w:ascii="Calibri" w:eastAsia="Calibri" w:hAnsi="Calibri" w:cs="Calibri"/>
        </w:rPr>
        <w:t>cricohyoid</w:t>
      </w:r>
      <w:proofErr w:type="spellEnd"/>
      <w:r>
        <w:rPr>
          <w:rFonts w:ascii="Calibri" w:eastAsia="Calibri" w:hAnsi="Calibri" w:cs="Calibri"/>
        </w:rPr>
        <w:t xml:space="preserve"> membrane is the anatomical structure that will be punctured during a cricothyrotomy.</w:t>
      </w:r>
    </w:p>
    <w:p w14:paraId="33151C71" w14:textId="77777777" w:rsidR="00D401A7" w:rsidRDefault="00D401A7">
      <w:pPr>
        <w:spacing w:line="240" w:lineRule="auto"/>
        <w:ind w:left="720" w:right="-540"/>
        <w:rPr>
          <w:rFonts w:ascii="Calibri" w:eastAsia="Calibri" w:hAnsi="Calibri" w:cs="Calibri"/>
        </w:rPr>
      </w:pPr>
    </w:p>
    <w:p w14:paraId="4BF0F258" w14:textId="77777777" w:rsidR="00D401A7" w:rsidRDefault="00000000">
      <w:pPr>
        <w:numPr>
          <w:ilvl w:val="0"/>
          <w:numId w:val="4"/>
        </w:numPr>
        <w:spacing w:line="240" w:lineRule="auto"/>
        <w:ind w:right="-540"/>
        <w:rPr>
          <w:rFonts w:ascii="Calibri" w:eastAsia="Calibri" w:hAnsi="Calibri" w:cs="Calibri"/>
        </w:rPr>
      </w:pPr>
      <w:r>
        <w:rPr>
          <w:rFonts w:ascii="Calibri" w:eastAsia="Calibri" w:hAnsi="Calibri" w:cs="Calibri"/>
        </w:rPr>
        <w:t xml:space="preserve">Of the following steps required for a cricothyrotomy utilizing the </w:t>
      </w:r>
      <w:proofErr w:type="spellStart"/>
      <w:r>
        <w:rPr>
          <w:rFonts w:ascii="Calibri" w:eastAsia="Calibri" w:hAnsi="Calibri" w:cs="Calibri"/>
        </w:rPr>
        <w:t>Seldinger</w:t>
      </w:r>
      <w:proofErr w:type="spellEnd"/>
      <w:r>
        <w:rPr>
          <w:rFonts w:ascii="Calibri" w:eastAsia="Calibri" w:hAnsi="Calibri" w:cs="Calibri"/>
        </w:rPr>
        <w:t xml:space="preserve"> (percutaneous wide bore) technique, which step will be completed first?</w:t>
      </w:r>
    </w:p>
    <w:p w14:paraId="758DE4E5" w14:textId="77777777" w:rsidR="00D401A7" w:rsidRDefault="00D401A7">
      <w:pPr>
        <w:spacing w:line="240" w:lineRule="auto"/>
        <w:ind w:left="720" w:right="-540"/>
        <w:rPr>
          <w:rFonts w:ascii="Calibri" w:eastAsia="Calibri" w:hAnsi="Calibri" w:cs="Calibri"/>
        </w:rPr>
      </w:pPr>
    </w:p>
    <w:p w14:paraId="5F93179B"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Using the scalpel to nick anatomical structures</w:t>
      </w:r>
    </w:p>
    <w:p w14:paraId="28FD7D3C"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Aspiration of air to confirm needle placement</w:t>
      </w:r>
    </w:p>
    <w:p w14:paraId="1FBA3E2A"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Threading the airway catheter and dilator over the guidewire</w:t>
      </w:r>
    </w:p>
    <w:p w14:paraId="46EFA328"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Threading the guide wire through the catheter or needle</w:t>
      </w:r>
    </w:p>
    <w:p w14:paraId="7252FD76" w14:textId="77777777" w:rsidR="00D401A7" w:rsidRDefault="00000000">
      <w:pPr>
        <w:numPr>
          <w:ilvl w:val="0"/>
          <w:numId w:val="4"/>
        </w:numPr>
        <w:spacing w:after="160"/>
        <w:ind w:right="-540"/>
        <w:rPr>
          <w:rFonts w:ascii="Calibri" w:eastAsia="Calibri" w:hAnsi="Calibri" w:cs="Calibri"/>
        </w:rPr>
      </w:pPr>
      <w:r>
        <w:rPr>
          <w:rFonts w:ascii="Calibri" w:eastAsia="Calibri" w:hAnsi="Calibri" w:cs="Calibri"/>
        </w:rPr>
        <w:t xml:space="preserve">There are four generally accepted methods of establishing an emergency airway. Which of the following </w:t>
      </w:r>
      <w:r>
        <w:rPr>
          <w:rFonts w:ascii="Calibri" w:eastAsia="Calibri" w:hAnsi="Calibri" w:cs="Calibri"/>
          <w:b/>
          <w:u w:val="single"/>
        </w:rPr>
        <w:t>is NOT</w:t>
      </w:r>
      <w:r>
        <w:rPr>
          <w:rFonts w:ascii="Calibri" w:eastAsia="Calibri" w:hAnsi="Calibri" w:cs="Calibri"/>
        </w:rPr>
        <w:t xml:space="preserve"> one of these four generally accepted methods?</w:t>
      </w:r>
    </w:p>
    <w:p w14:paraId="74D28017" w14:textId="77777777" w:rsidR="00D401A7" w:rsidRDefault="00000000">
      <w:pPr>
        <w:numPr>
          <w:ilvl w:val="1"/>
          <w:numId w:val="4"/>
        </w:numPr>
        <w:spacing w:after="160"/>
        <w:ind w:right="-540"/>
        <w:rPr>
          <w:rFonts w:ascii="Calibri" w:eastAsia="Calibri" w:hAnsi="Calibri" w:cs="Calibri"/>
        </w:rPr>
      </w:pPr>
      <w:r>
        <w:rPr>
          <w:rFonts w:ascii="Times New Roman" w:eastAsia="Times New Roman" w:hAnsi="Times New Roman" w:cs="Times New Roman"/>
        </w:rPr>
        <w:t xml:space="preserve"> </w:t>
      </w:r>
      <w:r>
        <w:rPr>
          <w:rFonts w:ascii="Calibri" w:eastAsia="Calibri" w:hAnsi="Calibri" w:cs="Calibri"/>
        </w:rPr>
        <w:t>Open cricothyrotomy</w:t>
      </w:r>
    </w:p>
    <w:p w14:paraId="4A88E5AB" w14:textId="77777777" w:rsidR="00D401A7" w:rsidRDefault="00000000">
      <w:pPr>
        <w:numPr>
          <w:ilvl w:val="1"/>
          <w:numId w:val="4"/>
        </w:numPr>
        <w:spacing w:after="160"/>
        <w:ind w:right="-540"/>
        <w:rPr>
          <w:rFonts w:ascii="Calibri" w:eastAsia="Calibri" w:hAnsi="Calibri" w:cs="Calibri"/>
        </w:rPr>
      </w:pPr>
      <w:r>
        <w:rPr>
          <w:rFonts w:ascii="Times New Roman" w:eastAsia="Times New Roman" w:hAnsi="Times New Roman" w:cs="Times New Roman"/>
        </w:rPr>
        <w:t xml:space="preserve"> </w:t>
      </w:r>
      <w:proofErr w:type="spellStart"/>
      <w:r>
        <w:rPr>
          <w:rFonts w:ascii="Calibri" w:eastAsia="Calibri" w:hAnsi="Calibri" w:cs="Calibri"/>
        </w:rPr>
        <w:t>Seldinger</w:t>
      </w:r>
      <w:proofErr w:type="spellEnd"/>
      <w:r>
        <w:rPr>
          <w:rFonts w:ascii="Calibri" w:eastAsia="Calibri" w:hAnsi="Calibri" w:cs="Calibri"/>
        </w:rPr>
        <w:t xml:space="preserve"> cricothyrotomy (percutaneous wide bore)</w:t>
      </w:r>
    </w:p>
    <w:p w14:paraId="00DFBFF2" w14:textId="77777777" w:rsidR="00D401A7" w:rsidRDefault="00000000">
      <w:pPr>
        <w:numPr>
          <w:ilvl w:val="1"/>
          <w:numId w:val="4"/>
        </w:numPr>
        <w:spacing w:after="160"/>
        <w:ind w:right="-540"/>
        <w:rPr>
          <w:rFonts w:ascii="Calibri" w:eastAsia="Calibri" w:hAnsi="Calibri" w:cs="Calibri"/>
        </w:rPr>
      </w:pPr>
      <w:r>
        <w:rPr>
          <w:rFonts w:ascii="Times New Roman" w:eastAsia="Times New Roman" w:hAnsi="Times New Roman" w:cs="Times New Roman"/>
        </w:rPr>
        <w:t xml:space="preserve"> </w:t>
      </w:r>
      <w:r>
        <w:rPr>
          <w:rFonts w:ascii="Calibri" w:eastAsia="Calibri" w:hAnsi="Calibri" w:cs="Calibri"/>
        </w:rPr>
        <w:t>Scalpel-bougie cricothyrotomy</w:t>
      </w:r>
    </w:p>
    <w:p w14:paraId="22D34CD4"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Transtracheal catheter ventilation (percutaneous small-bore)</w:t>
      </w:r>
    </w:p>
    <w:p w14:paraId="1F373769" w14:textId="77777777" w:rsidR="00D401A7" w:rsidRDefault="00000000">
      <w:pPr>
        <w:numPr>
          <w:ilvl w:val="1"/>
          <w:numId w:val="4"/>
        </w:numPr>
        <w:ind w:right="-540"/>
        <w:rPr>
          <w:rFonts w:ascii="Calibri" w:eastAsia="Calibri" w:hAnsi="Calibri" w:cs="Calibri"/>
        </w:rPr>
      </w:pPr>
      <w:r>
        <w:rPr>
          <w:rFonts w:ascii="Calibri" w:eastAsia="Calibri" w:hAnsi="Calibri" w:cs="Calibri"/>
        </w:rPr>
        <w:t xml:space="preserve">Transtracheal direct laryngoscopy </w:t>
      </w:r>
    </w:p>
    <w:p w14:paraId="245586AF" w14:textId="77777777" w:rsidR="00D401A7" w:rsidRDefault="00D401A7">
      <w:pPr>
        <w:ind w:left="1440" w:right="-540"/>
        <w:rPr>
          <w:rFonts w:ascii="Calibri" w:eastAsia="Calibri" w:hAnsi="Calibri" w:cs="Calibri"/>
        </w:rPr>
      </w:pPr>
    </w:p>
    <w:p w14:paraId="001CA701" w14:textId="77777777" w:rsidR="00D401A7" w:rsidRDefault="00000000">
      <w:pPr>
        <w:numPr>
          <w:ilvl w:val="0"/>
          <w:numId w:val="4"/>
        </w:numPr>
        <w:ind w:right="-540"/>
        <w:rPr>
          <w:rFonts w:ascii="Calibri" w:eastAsia="Calibri" w:hAnsi="Calibri" w:cs="Calibri"/>
        </w:rPr>
      </w:pPr>
      <w:r>
        <w:rPr>
          <w:rFonts w:ascii="Calibri" w:eastAsia="Calibri" w:hAnsi="Calibri" w:cs="Calibri"/>
          <w:b/>
        </w:rPr>
        <w:t xml:space="preserve">True </w:t>
      </w:r>
      <w:r>
        <w:rPr>
          <w:rFonts w:ascii="Calibri" w:eastAsia="Calibri" w:hAnsi="Calibri" w:cs="Calibri"/>
        </w:rPr>
        <w:t xml:space="preserve">or </w:t>
      </w:r>
      <w:r>
        <w:rPr>
          <w:rFonts w:ascii="Calibri" w:eastAsia="Calibri" w:hAnsi="Calibri" w:cs="Calibri"/>
          <w:b/>
        </w:rPr>
        <w:t>False:</w:t>
      </w:r>
      <w:r>
        <w:rPr>
          <w:rFonts w:ascii="Calibri" w:eastAsia="Calibri" w:hAnsi="Calibri" w:cs="Calibri"/>
        </w:rPr>
        <w:t xml:space="preserve"> There are no absolute contraindications to performing a cricothyrotomy</w:t>
      </w:r>
    </w:p>
    <w:p w14:paraId="663F8EC4" w14:textId="77777777" w:rsidR="00D401A7" w:rsidRDefault="00D401A7">
      <w:pPr>
        <w:ind w:left="720" w:right="-540"/>
        <w:rPr>
          <w:rFonts w:ascii="Calibri" w:eastAsia="Calibri" w:hAnsi="Calibri" w:cs="Calibri"/>
        </w:rPr>
      </w:pPr>
    </w:p>
    <w:p w14:paraId="2F54DCA5" w14:textId="77777777" w:rsidR="00D401A7" w:rsidRDefault="00000000">
      <w:pPr>
        <w:numPr>
          <w:ilvl w:val="0"/>
          <w:numId w:val="4"/>
        </w:numPr>
        <w:spacing w:after="160"/>
        <w:ind w:right="-540"/>
        <w:rPr>
          <w:rFonts w:ascii="Calibri" w:eastAsia="Calibri" w:hAnsi="Calibri" w:cs="Calibri"/>
        </w:rPr>
      </w:pPr>
      <w:r>
        <w:rPr>
          <w:rFonts w:ascii="Calibri" w:eastAsia="Calibri" w:hAnsi="Calibri" w:cs="Calibri"/>
        </w:rPr>
        <w:t xml:space="preserve">The following are predictors of a difficult surgical airway </w:t>
      </w:r>
      <w:r>
        <w:rPr>
          <w:rFonts w:ascii="Calibri" w:eastAsia="Calibri" w:hAnsi="Calibri" w:cs="Calibri"/>
          <w:b/>
          <w:u w:val="single"/>
        </w:rPr>
        <w:t>except</w:t>
      </w:r>
      <w:r>
        <w:rPr>
          <w:rFonts w:ascii="Calibri" w:eastAsia="Calibri" w:hAnsi="Calibri" w:cs="Calibri"/>
        </w:rPr>
        <w:t>?</w:t>
      </w:r>
    </w:p>
    <w:p w14:paraId="65A1718B"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Past surgery in the neck area</w:t>
      </w:r>
    </w:p>
    <w:p w14:paraId="7D8DC5E6"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Obesity</w:t>
      </w:r>
    </w:p>
    <w:p w14:paraId="42EDF1AE" w14:textId="77777777" w:rsidR="00D401A7" w:rsidRDefault="00000000">
      <w:pPr>
        <w:numPr>
          <w:ilvl w:val="1"/>
          <w:numId w:val="4"/>
        </w:numPr>
        <w:spacing w:after="160"/>
        <w:ind w:right="-540"/>
        <w:rPr>
          <w:rFonts w:ascii="Calibri" w:eastAsia="Calibri" w:hAnsi="Calibri" w:cs="Calibri"/>
        </w:rPr>
      </w:pPr>
      <w:r>
        <w:rPr>
          <w:rFonts w:ascii="Calibri" w:eastAsia="Calibri" w:hAnsi="Calibri" w:cs="Calibri"/>
        </w:rPr>
        <w:t>Past radiation to the neck</w:t>
      </w:r>
    </w:p>
    <w:p w14:paraId="3D5D740E" w14:textId="77777777" w:rsidR="00D401A7" w:rsidRDefault="00000000">
      <w:pPr>
        <w:numPr>
          <w:ilvl w:val="1"/>
          <w:numId w:val="4"/>
        </w:numPr>
        <w:spacing w:after="160" w:line="240" w:lineRule="auto"/>
        <w:ind w:right="-540"/>
        <w:rPr>
          <w:rFonts w:ascii="Calibri" w:eastAsia="Calibri" w:hAnsi="Calibri" w:cs="Calibri"/>
        </w:rPr>
      </w:pPr>
      <w:r>
        <w:rPr>
          <w:rFonts w:ascii="Calibri" w:eastAsia="Calibri" w:hAnsi="Calibri" w:cs="Calibri"/>
        </w:rPr>
        <w:t xml:space="preserve">Grade four </w:t>
      </w:r>
      <w:proofErr w:type="spellStart"/>
      <w:r>
        <w:rPr>
          <w:rFonts w:ascii="Calibri" w:eastAsia="Calibri" w:hAnsi="Calibri" w:cs="Calibri"/>
        </w:rPr>
        <w:t>Mallampati</w:t>
      </w:r>
      <w:proofErr w:type="spellEnd"/>
      <w:r>
        <w:rPr>
          <w:rFonts w:ascii="Calibri" w:eastAsia="Calibri" w:hAnsi="Calibri" w:cs="Calibri"/>
        </w:rPr>
        <w:t xml:space="preserve"> </w:t>
      </w:r>
    </w:p>
    <w:p w14:paraId="453A20BE" w14:textId="77777777" w:rsidR="00D401A7" w:rsidRDefault="00000000">
      <w:pPr>
        <w:numPr>
          <w:ilvl w:val="0"/>
          <w:numId w:val="4"/>
        </w:numPr>
        <w:spacing w:line="360" w:lineRule="auto"/>
        <w:rPr>
          <w:rFonts w:ascii="Calibri" w:eastAsia="Calibri" w:hAnsi="Calibri" w:cs="Calibri"/>
        </w:rPr>
      </w:pPr>
      <w:r>
        <w:rPr>
          <w:rFonts w:ascii="Calibri" w:eastAsia="Calibri" w:hAnsi="Calibri" w:cs="Calibri"/>
          <w:b/>
        </w:rPr>
        <w:t>True</w:t>
      </w:r>
      <w:r>
        <w:rPr>
          <w:rFonts w:ascii="Calibri" w:eastAsia="Calibri" w:hAnsi="Calibri" w:cs="Calibri"/>
        </w:rPr>
        <w:t xml:space="preserve"> or </w:t>
      </w:r>
      <w:r>
        <w:rPr>
          <w:rFonts w:ascii="Calibri" w:eastAsia="Calibri" w:hAnsi="Calibri" w:cs="Calibri"/>
          <w:b/>
        </w:rPr>
        <w:t>False</w:t>
      </w:r>
      <w:r>
        <w:rPr>
          <w:rFonts w:ascii="Calibri" w:eastAsia="Calibri" w:hAnsi="Calibri" w:cs="Calibri"/>
        </w:rPr>
        <w:t>: The open surgical cricothyrotomy is the preferred method for obtaining an emergency surgical airway in the pediatric population.</w:t>
      </w:r>
    </w:p>
    <w:p w14:paraId="6206E2D3" w14:textId="77777777" w:rsidR="00D401A7" w:rsidRDefault="00D401A7">
      <w:pPr>
        <w:spacing w:line="360" w:lineRule="auto"/>
        <w:rPr>
          <w:rFonts w:ascii="Calibri" w:eastAsia="Calibri" w:hAnsi="Calibri" w:cs="Calibri"/>
        </w:rPr>
      </w:pPr>
    </w:p>
    <w:p w14:paraId="3D38B5A2" w14:textId="77777777" w:rsidR="00D401A7" w:rsidRDefault="00000000">
      <w:pPr>
        <w:numPr>
          <w:ilvl w:val="0"/>
          <w:numId w:val="4"/>
        </w:numPr>
        <w:spacing w:line="360" w:lineRule="auto"/>
        <w:rPr>
          <w:rFonts w:ascii="Calibri" w:eastAsia="Calibri" w:hAnsi="Calibri" w:cs="Calibri"/>
        </w:rPr>
      </w:pPr>
      <w:r>
        <w:rPr>
          <w:rFonts w:ascii="Calibri" w:eastAsia="Calibri" w:hAnsi="Calibri" w:cs="Calibri"/>
        </w:rPr>
        <w:lastRenderedPageBreak/>
        <w:t>The following equipment is likely to be included in a cricothyrotomy kit</w:t>
      </w:r>
      <w:r>
        <w:rPr>
          <w:rFonts w:ascii="Calibri" w:eastAsia="Calibri" w:hAnsi="Calibri" w:cs="Calibri"/>
          <w:b/>
        </w:rPr>
        <w:t xml:space="preserve"> </w:t>
      </w:r>
      <w:r>
        <w:rPr>
          <w:rFonts w:ascii="Calibri" w:eastAsia="Calibri" w:hAnsi="Calibri" w:cs="Calibri"/>
          <w:b/>
          <w:u w:val="single"/>
        </w:rPr>
        <w:t>except</w:t>
      </w:r>
      <w:r>
        <w:rPr>
          <w:rFonts w:ascii="Calibri" w:eastAsia="Calibri" w:hAnsi="Calibri" w:cs="Calibri"/>
        </w:rPr>
        <w:t>?</w:t>
      </w:r>
    </w:p>
    <w:p w14:paraId="439CE0CB"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A bougie</w:t>
      </w:r>
    </w:p>
    <w:p w14:paraId="74689686"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 xml:space="preserve">A guide </w:t>
      </w:r>
      <w:proofErr w:type="gramStart"/>
      <w:r>
        <w:rPr>
          <w:rFonts w:ascii="Calibri" w:eastAsia="Calibri" w:hAnsi="Calibri" w:cs="Calibri"/>
        </w:rPr>
        <w:t>wire</w:t>
      </w:r>
      <w:proofErr w:type="gramEnd"/>
    </w:p>
    <w:p w14:paraId="6B637728"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A scalpel</w:t>
      </w:r>
    </w:p>
    <w:p w14:paraId="61DF29B2"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A syringe and needle</w:t>
      </w:r>
    </w:p>
    <w:p w14:paraId="494F8EB8" w14:textId="77777777" w:rsidR="00D401A7" w:rsidRDefault="00000000">
      <w:pPr>
        <w:numPr>
          <w:ilvl w:val="0"/>
          <w:numId w:val="4"/>
        </w:numPr>
        <w:spacing w:line="360" w:lineRule="auto"/>
        <w:rPr>
          <w:rFonts w:ascii="Calibri" w:eastAsia="Calibri" w:hAnsi="Calibri" w:cs="Calibri"/>
        </w:rPr>
      </w:pPr>
      <w:r>
        <w:rPr>
          <w:rFonts w:ascii="Calibri" w:eastAsia="Calibri" w:hAnsi="Calibri" w:cs="Calibri"/>
        </w:rPr>
        <w:t>Utilizing standard anatomical position, what structure is immediately inferior to the thyroid cartilage (closer to the feet)?</w:t>
      </w:r>
    </w:p>
    <w:p w14:paraId="0C2308C1"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Hyoid bone</w:t>
      </w:r>
    </w:p>
    <w:p w14:paraId="37139AC6" w14:textId="77777777" w:rsidR="00D401A7" w:rsidRDefault="00000000">
      <w:pPr>
        <w:numPr>
          <w:ilvl w:val="1"/>
          <w:numId w:val="4"/>
        </w:numPr>
        <w:spacing w:line="360" w:lineRule="auto"/>
        <w:rPr>
          <w:rFonts w:ascii="Calibri" w:eastAsia="Calibri" w:hAnsi="Calibri" w:cs="Calibri"/>
        </w:rPr>
      </w:pPr>
      <w:proofErr w:type="spellStart"/>
      <w:r>
        <w:rPr>
          <w:rFonts w:ascii="Calibri" w:eastAsia="Calibri" w:hAnsi="Calibri" w:cs="Calibri"/>
        </w:rPr>
        <w:t>Cricohyoid</w:t>
      </w:r>
      <w:proofErr w:type="spellEnd"/>
      <w:r>
        <w:rPr>
          <w:rFonts w:ascii="Calibri" w:eastAsia="Calibri" w:hAnsi="Calibri" w:cs="Calibri"/>
        </w:rPr>
        <w:t xml:space="preserve"> membrane </w:t>
      </w:r>
    </w:p>
    <w:p w14:paraId="06255C6C"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Cricothyroid membrane</w:t>
      </w:r>
    </w:p>
    <w:p w14:paraId="62576171"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Thyroid gland</w:t>
      </w:r>
    </w:p>
    <w:p w14:paraId="4D420D75" w14:textId="77777777" w:rsidR="00D401A7" w:rsidRDefault="00000000">
      <w:pPr>
        <w:numPr>
          <w:ilvl w:val="0"/>
          <w:numId w:val="4"/>
        </w:numPr>
        <w:spacing w:after="200" w:line="360" w:lineRule="auto"/>
        <w:rPr>
          <w:rFonts w:ascii="Calibri" w:eastAsia="Calibri" w:hAnsi="Calibri" w:cs="Calibri"/>
        </w:rPr>
      </w:pPr>
      <w:r>
        <w:rPr>
          <w:rFonts w:ascii="Calibri" w:eastAsia="Calibri" w:hAnsi="Calibri" w:cs="Calibri"/>
          <w:b/>
        </w:rPr>
        <w:t>True</w:t>
      </w:r>
      <w:r>
        <w:rPr>
          <w:rFonts w:ascii="Calibri" w:eastAsia="Calibri" w:hAnsi="Calibri" w:cs="Calibri"/>
        </w:rPr>
        <w:t xml:space="preserve"> or </w:t>
      </w:r>
      <w:r>
        <w:rPr>
          <w:rFonts w:ascii="Calibri" w:eastAsia="Calibri" w:hAnsi="Calibri" w:cs="Calibri"/>
          <w:b/>
        </w:rPr>
        <w:t>False</w:t>
      </w:r>
      <w:r>
        <w:rPr>
          <w:rFonts w:ascii="Calibri" w:eastAsia="Calibri" w:hAnsi="Calibri" w:cs="Calibri"/>
        </w:rPr>
        <w:t xml:space="preserve">: When performing a cricothyrotomy, a second provider should </w:t>
      </w:r>
      <w:r>
        <w:rPr>
          <w:rFonts w:ascii="Calibri" w:eastAsia="Calibri" w:hAnsi="Calibri" w:cs="Calibri"/>
          <w:b/>
          <w:u w:val="single"/>
        </w:rPr>
        <w:t>not</w:t>
      </w:r>
      <w:r>
        <w:rPr>
          <w:rFonts w:ascii="Calibri" w:eastAsia="Calibri" w:hAnsi="Calibri" w:cs="Calibri"/>
        </w:rPr>
        <w:t xml:space="preserve"> provide apneic oxygenation via a bag-mask device as it has been shown to lower success rates of the surgical airway.</w:t>
      </w:r>
    </w:p>
    <w:p w14:paraId="7A0B206F" w14:textId="77777777" w:rsidR="00D401A7" w:rsidRDefault="00000000">
      <w:pPr>
        <w:numPr>
          <w:ilvl w:val="0"/>
          <w:numId w:val="4"/>
        </w:numPr>
        <w:spacing w:after="200" w:line="360" w:lineRule="auto"/>
        <w:rPr>
          <w:rFonts w:ascii="Calibri" w:eastAsia="Calibri" w:hAnsi="Calibri" w:cs="Calibri"/>
        </w:rPr>
      </w:pPr>
      <w:r>
        <w:rPr>
          <w:rFonts w:ascii="Calibri" w:eastAsia="Calibri" w:hAnsi="Calibri" w:cs="Calibri"/>
        </w:rPr>
        <w:t xml:space="preserve"> Fill in the blank: It is recommended for an emergency cricothyrotomy that a right-handed provider stand at/on the __________</w:t>
      </w:r>
      <w:proofErr w:type="gramStart"/>
      <w:r>
        <w:rPr>
          <w:rFonts w:ascii="Calibri" w:eastAsia="Calibri" w:hAnsi="Calibri" w:cs="Calibri"/>
        </w:rPr>
        <w:t>_ .</w:t>
      </w:r>
      <w:proofErr w:type="gramEnd"/>
    </w:p>
    <w:p w14:paraId="17E847D9"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Head of the bed</w:t>
      </w:r>
    </w:p>
    <w:p w14:paraId="45191DAF"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Patient’s left side</w:t>
      </w:r>
    </w:p>
    <w:p w14:paraId="6F9491D9" w14:textId="77777777" w:rsidR="00D401A7" w:rsidRDefault="00000000">
      <w:pPr>
        <w:numPr>
          <w:ilvl w:val="1"/>
          <w:numId w:val="4"/>
        </w:numPr>
        <w:spacing w:line="360" w:lineRule="auto"/>
        <w:rPr>
          <w:rFonts w:ascii="Calibri" w:eastAsia="Calibri" w:hAnsi="Calibri" w:cs="Calibri"/>
        </w:rPr>
      </w:pPr>
      <w:r>
        <w:rPr>
          <w:rFonts w:ascii="Calibri" w:eastAsia="Calibri" w:hAnsi="Calibri" w:cs="Calibri"/>
        </w:rPr>
        <w:t>Foot of the bed</w:t>
      </w:r>
    </w:p>
    <w:p w14:paraId="31AC126A" w14:textId="77777777" w:rsidR="00D401A7" w:rsidRDefault="00000000">
      <w:pPr>
        <w:numPr>
          <w:ilvl w:val="1"/>
          <w:numId w:val="4"/>
        </w:numPr>
        <w:spacing w:after="160" w:line="360" w:lineRule="auto"/>
        <w:rPr>
          <w:rFonts w:ascii="Calibri" w:eastAsia="Calibri" w:hAnsi="Calibri" w:cs="Calibri"/>
        </w:rPr>
      </w:pPr>
      <w:r>
        <w:rPr>
          <w:rFonts w:ascii="Calibri" w:eastAsia="Calibri" w:hAnsi="Calibri" w:cs="Calibri"/>
        </w:rPr>
        <w:t>Patient’s right side</w:t>
      </w:r>
    </w:p>
    <w:p w14:paraId="314B4B98" w14:textId="77777777" w:rsidR="00D401A7" w:rsidRDefault="00000000">
      <w:pPr>
        <w:spacing w:after="160" w:line="240" w:lineRule="auto"/>
        <w:ind w:left="360"/>
        <w:jc w:val="center"/>
        <w:rPr>
          <w:rFonts w:ascii="Calibri" w:eastAsia="Calibri" w:hAnsi="Calibri" w:cs="Calibri"/>
          <w:sz w:val="26"/>
          <w:szCs w:val="26"/>
        </w:rPr>
      </w:pPr>
      <w:r>
        <w:rPr>
          <w:rFonts w:ascii="Calibri" w:eastAsia="Calibri" w:hAnsi="Calibri" w:cs="Calibri"/>
          <w:noProof/>
          <w:sz w:val="26"/>
          <w:szCs w:val="26"/>
        </w:rPr>
        <w:drawing>
          <wp:inline distT="114300" distB="114300" distL="114300" distR="114300" wp14:anchorId="2827445C" wp14:editId="057633F9">
            <wp:extent cx="1719263" cy="1719263"/>
            <wp:effectExtent l="0" t="0" r="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1"/>
                    <a:srcRect/>
                    <a:stretch>
                      <a:fillRect/>
                    </a:stretch>
                  </pic:blipFill>
                  <pic:spPr>
                    <a:xfrm>
                      <a:off x="0" y="0"/>
                      <a:ext cx="1719263" cy="1719263"/>
                    </a:xfrm>
                    <a:prstGeom prst="rect">
                      <a:avLst/>
                    </a:prstGeom>
                    <a:ln/>
                  </pic:spPr>
                </pic:pic>
              </a:graphicData>
            </a:graphic>
          </wp:inline>
        </w:drawing>
      </w:r>
    </w:p>
    <w:p w14:paraId="309FCCF4" w14:textId="77777777" w:rsidR="00D401A7" w:rsidRDefault="00000000">
      <w:pPr>
        <w:spacing w:after="160" w:line="240" w:lineRule="auto"/>
        <w:ind w:left="360"/>
        <w:jc w:val="center"/>
        <w:rPr>
          <w:rFonts w:ascii="Calibri" w:eastAsia="Calibri" w:hAnsi="Calibri" w:cs="Calibri"/>
          <w:b/>
          <w:sz w:val="28"/>
          <w:szCs w:val="28"/>
        </w:rPr>
      </w:pPr>
      <w:r>
        <w:rPr>
          <w:rFonts w:ascii="Calibri" w:eastAsia="Calibri" w:hAnsi="Calibri" w:cs="Calibri"/>
          <w:sz w:val="26"/>
          <w:szCs w:val="26"/>
        </w:rPr>
        <w:t>Stop here. Do not continue to next page until after completing the education.</w:t>
      </w:r>
    </w:p>
    <w:p w14:paraId="7D867219" w14:textId="77777777" w:rsidR="00D401A7" w:rsidRDefault="00D401A7">
      <w:pPr>
        <w:spacing w:after="160" w:line="259" w:lineRule="auto"/>
        <w:jc w:val="center"/>
        <w:rPr>
          <w:rFonts w:ascii="Calibri" w:eastAsia="Calibri" w:hAnsi="Calibri" w:cs="Calibri"/>
          <w:b/>
          <w:sz w:val="28"/>
          <w:szCs w:val="28"/>
        </w:rPr>
      </w:pPr>
    </w:p>
    <w:p w14:paraId="29D41189" w14:textId="77777777" w:rsidR="00D401A7" w:rsidRDefault="00D401A7">
      <w:pPr>
        <w:spacing w:after="160" w:line="259" w:lineRule="auto"/>
        <w:jc w:val="center"/>
        <w:rPr>
          <w:rFonts w:ascii="Calibri" w:eastAsia="Calibri" w:hAnsi="Calibri" w:cs="Calibri"/>
          <w:b/>
          <w:sz w:val="28"/>
          <w:szCs w:val="28"/>
        </w:rPr>
      </w:pPr>
    </w:p>
    <w:p w14:paraId="47B17056" w14:textId="77777777" w:rsidR="00D401A7" w:rsidRDefault="00D401A7">
      <w:pPr>
        <w:spacing w:after="160" w:line="259" w:lineRule="auto"/>
        <w:jc w:val="center"/>
        <w:rPr>
          <w:rFonts w:ascii="Calibri" w:eastAsia="Calibri" w:hAnsi="Calibri" w:cs="Calibri"/>
          <w:b/>
          <w:sz w:val="28"/>
          <w:szCs w:val="28"/>
        </w:rPr>
      </w:pPr>
    </w:p>
    <w:p w14:paraId="7D2F7C97" w14:textId="77777777" w:rsidR="00D401A7" w:rsidRDefault="00D401A7">
      <w:pPr>
        <w:spacing w:after="160" w:line="259" w:lineRule="auto"/>
        <w:jc w:val="center"/>
        <w:rPr>
          <w:rFonts w:ascii="Calibri" w:eastAsia="Calibri" w:hAnsi="Calibri" w:cs="Calibri"/>
          <w:b/>
          <w:sz w:val="28"/>
          <w:szCs w:val="28"/>
        </w:rPr>
      </w:pPr>
    </w:p>
    <w:p w14:paraId="21CB9588" w14:textId="77777777" w:rsidR="00D401A7" w:rsidRDefault="00000000">
      <w:pPr>
        <w:spacing w:after="160" w:line="259" w:lineRule="auto"/>
        <w:jc w:val="center"/>
        <w:rPr>
          <w:rFonts w:ascii="Calibri" w:eastAsia="Calibri" w:hAnsi="Calibri" w:cs="Calibri"/>
          <w:b/>
          <w:color w:val="C00000"/>
        </w:rPr>
      </w:pPr>
      <w:r>
        <w:rPr>
          <w:rFonts w:ascii="Calibri" w:eastAsia="Calibri" w:hAnsi="Calibri" w:cs="Calibri"/>
          <w:b/>
          <w:sz w:val="28"/>
          <w:szCs w:val="28"/>
        </w:rPr>
        <w:t>Post-educational Confidence assessment</w:t>
      </w:r>
      <w:r>
        <w:rPr>
          <w:rFonts w:ascii="Calibri" w:eastAsia="Calibri" w:hAnsi="Calibri" w:cs="Calibri"/>
          <w:b/>
          <w:color w:val="C00000"/>
        </w:rPr>
        <w:t xml:space="preserve"> </w:t>
      </w:r>
    </w:p>
    <w:p w14:paraId="1A3452CF" w14:textId="77777777" w:rsidR="00D401A7" w:rsidRDefault="00000000">
      <w:pPr>
        <w:spacing w:after="160" w:line="240" w:lineRule="auto"/>
        <w:ind w:right="-540"/>
        <w:jc w:val="center"/>
        <w:rPr>
          <w:rFonts w:ascii="Calibri" w:eastAsia="Calibri" w:hAnsi="Calibri" w:cs="Calibri"/>
          <w:sz w:val="24"/>
          <w:szCs w:val="24"/>
        </w:rPr>
      </w:pPr>
      <w:r>
        <w:rPr>
          <w:rFonts w:ascii="Calibri" w:eastAsia="Calibri" w:hAnsi="Calibri" w:cs="Calibri"/>
          <w:sz w:val="24"/>
          <w:szCs w:val="24"/>
        </w:rPr>
        <w:t xml:space="preserve">Please answer the following questions by circling </w:t>
      </w:r>
      <w:r>
        <w:rPr>
          <w:rFonts w:ascii="Calibri" w:eastAsia="Calibri" w:hAnsi="Calibri" w:cs="Calibri"/>
          <w:sz w:val="24"/>
          <w:szCs w:val="24"/>
          <w:u w:val="single"/>
        </w:rPr>
        <w:t>only one response per question</w:t>
      </w:r>
      <w:r>
        <w:rPr>
          <w:rFonts w:ascii="Calibri" w:eastAsia="Calibri" w:hAnsi="Calibri" w:cs="Calibri"/>
          <w:sz w:val="24"/>
          <w:szCs w:val="24"/>
        </w:rPr>
        <w:t xml:space="preserve">. </w:t>
      </w:r>
    </w:p>
    <w:p w14:paraId="64597EDA" w14:textId="77777777" w:rsidR="00D401A7" w:rsidRDefault="00000000">
      <w:pPr>
        <w:numPr>
          <w:ilvl w:val="0"/>
          <w:numId w:val="6"/>
        </w:numPr>
        <w:spacing w:after="160"/>
        <w:ind w:right="-540"/>
        <w:rPr>
          <w:rFonts w:ascii="Calibri" w:eastAsia="Calibri" w:hAnsi="Calibri" w:cs="Calibri"/>
          <w:b/>
          <w:sz w:val="24"/>
          <w:szCs w:val="24"/>
        </w:rPr>
      </w:pPr>
      <w:r>
        <w:rPr>
          <w:rFonts w:ascii="Calibri" w:eastAsia="Calibri" w:hAnsi="Calibri" w:cs="Calibri"/>
          <w:b/>
          <w:sz w:val="24"/>
          <w:szCs w:val="24"/>
        </w:rPr>
        <w:t>How confident are you in recognizing the need to perform a cricothyrotomy?</w:t>
      </w:r>
    </w:p>
    <w:tbl>
      <w:tblPr>
        <w:tblStyle w:val="affff6"/>
        <w:tblW w:w="945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860"/>
        <w:gridCol w:w="1860"/>
        <w:gridCol w:w="1860"/>
        <w:gridCol w:w="1860"/>
      </w:tblGrid>
      <w:tr w:rsidR="00D401A7" w14:paraId="6D7C1343" w14:textId="77777777">
        <w:tc>
          <w:tcPr>
            <w:tcW w:w="2010" w:type="dxa"/>
            <w:tcBorders>
              <w:top w:val="nil"/>
              <w:left w:val="nil"/>
              <w:bottom w:val="nil"/>
              <w:right w:val="nil"/>
            </w:tcBorders>
            <w:shd w:val="clear" w:color="auto" w:fill="auto"/>
            <w:tcMar>
              <w:top w:w="100" w:type="dxa"/>
              <w:left w:w="100" w:type="dxa"/>
              <w:bottom w:w="100" w:type="dxa"/>
              <w:right w:w="100" w:type="dxa"/>
            </w:tcMar>
          </w:tcPr>
          <w:p w14:paraId="58645F1D"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1DA1C749"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6266F6A3"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2310B11F"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5267A6EF"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4BFBD585" w14:textId="77777777" w:rsidR="00D401A7" w:rsidRDefault="00D401A7">
      <w:pPr>
        <w:spacing w:after="160" w:line="240" w:lineRule="auto"/>
        <w:ind w:right="-540"/>
        <w:rPr>
          <w:rFonts w:ascii="Calibri" w:eastAsia="Calibri" w:hAnsi="Calibri" w:cs="Calibri"/>
          <w:sz w:val="24"/>
          <w:szCs w:val="24"/>
        </w:rPr>
      </w:pPr>
    </w:p>
    <w:p w14:paraId="173B239D" w14:textId="77777777" w:rsidR="00D401A7" w:rsidRDefault="00D401A7">
      <w:pPr>
        <w:spacing w:after="160" w:line="240" w:lineRule="auto"/>
        <w:ind w:left="1440" w:right="-540"/>
        <w:rPr>
          <w:rFonts w:ascii="Calibri" w:eastAsia="Calibri" w:hAnsi="Calibri" w:cs="Calibri"/>
          <w:sz w:val="24"/>
          <w:szCs w:val="24"/>
        </w:rPr>
      </w:pPr>
    </w:p>
    <w:p w14:paraId="52D1FEC6" w14:textId="77777777" w:rsidR="00D401A7" w:rsidRDefault="00000000">
      <w:pPr>
        <w:numPr>
          <w:ilvl w:val="0"/>
          <w:numId w:val="5"/>
        </w:numPr>
        <w:spacing w:after="160"/>
        <w:ind w:right="-540"/>
        <w:rPr>
          <w:rFonts w:ascii="Calibri" w:eastAsia="Calibri" w:hAnsi="Calibri" w:cs="Calibri"/>
          <w:b/>
          <w:sz w:val="24"/>
          <w:szCs w:val="24"/>
        </w:rPr>
      </w:pPr>
      <w:r>
        <w:rPr>
          <w:rFonts w:ascii="Calibri" w:eastAsia="Calibri" w:hAnsi="Calibri" w:cs="Calibri"/>
          <w:b/>
          <w:sz w:val="24"/>
          <w:szCs w:val="24"/>
        </w:rPr>
        <w:t>How confident are you in identifying appropriate anatomical landmarks to perform a cricothyrotomy?</w:t>
      </w:r>
    </w:p>
    <w:tbl>
      <w:tblPr>
        <w:tblStyle w:val="affff7"/>
        <w:tblW w:w="9495" w:type="dxa"/>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1860"/>
        <w:gridCol w:w="1860"/>
        <w:gridCol w:w="1860"/>
        <w:gridCol w:w="1860"/>
      </w:tblGrid>
      <w:tr w:rsidR="00D401A7" w14:paraId="4CF5E961" w14:textId="77777777">
        <w:tc>
          <w:tcPr>
            <w:tcW w:w="2055" w:type="dxa"/>
            <w:tcBorders>
              <w:top w:val="nil"/>
              <w:left w:val="nil"/>
              <w:bottom w:val="nil"/>
              <w:right w:val="nil"/>
            </w:tcBorders>
            <w:shd w:val="clear" w:color="auto" w:fill="auto"/>
            <w:tcMar>
              <w:top w:w="100" w:type="dxa"/>
              <w:left w:w="100" w:type="dxa"/>
              <w:bottom w:w="100" w:type="dxa"/>
              <w:right w:w="100" w:type="dxa"/>
            </w:tcMar>
          </w:tcPr>
          <w:p w14:paraId="5D27C95F"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5A651A60"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73B1BF0C"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04FB17F7"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2FD301B9"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1106F98B" w14:textId="77777777" w:rsidR="00D401A7" w:rsidRDefault="00D401A7">
      <w:pPr>
        <w:spacing w:after="160" w:line="240" w:lineRule="auto"/>
        <w:ind w:right="-540"/>
        <w:rPr>
          <w:rFonts w:ascii="Calibri" w:eastAsia="Calibri" w:hAnsi="Calibri" w:cs="Calibri"/>
          <w:sz w:val="24"/>
          <w:szCs w:val="24"/>
        </w:rPr>
      </w:pPr>
    </w:p>
    <w:p w14:paraId="53A01207" w14:textId="77777777" w:rsidR="00D401A7" w:rsidRDefault="00D401A7">
      <w:pPr>
        <w:spacing w:after="160" w:line="240" w:lineRule="auto"/>
        <w:ind w:right="-540"/>
        <w:rPr>
          <w:rFonts w:ascii="Calibri" w:eastAsia="Calibri" w:hAnsi="Calibri" w:cs="Calibri"/>
          <w:sz w:val="24"/>
          <w:szCs w:val="24"/>
        </w:rPr>
      </w:pPr>
    </w:p>
    <w:p w14:paraId="3EE069CA" w14:textId="77777777" w:rsidR="00D401A7" w:rsidRDefault="00000000">
      <w:pPr>
        <w:numPr>
          <w:ilvl w:val="0"/>
          <w:numId w:val="5"/>
        </w:numPr>
        <w:spacing w:after="160"/>
        <w:ind w:right="-540"/>
        <w:rPr>
          <w:rFonts w:ascii="Calibri" w:eastAsia="Calibri" w:hAnsi="Calibri" w:cs="Calibri"/>
          <w:b/>
          <w:sz w:val="24"/>
          <w:szCs w:val="24"/>
        </w:rPr>
      </w:pPr>
      <w:r>
        <w:rPr>
          <w:rFonts w:ascii="Calibri" w:eastAsia="Calibri" w:hAnsi="Calibri" w:cs="Calibri"/>
          <w:b/>
          <w:sz w:val="24"/>
          <w:szCs w:val="24"/>
        </w:rPr>
        <w:t>How confident are you in securing an airway via cricothyrotomy?</w:t>
      </w:r>
    </w:p>
    <w:tbl>
      <w:tblPr>
        <w:tblStyle w:val="affff8"/>
        <w:tblW w:w="948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860"/>
        <w:gridCol w:w="1860"/>
        <w:gridCol w:w="1860"/>
        <w:gridCol w:w="1860"/>
      </w:tblGrid>
      <w:tr w:rsidR="00D401A7" w14:paraId="56D87418" w14:textId="77777777">
        <w:tc>
          <w:tcPr>
            <w:tcW w:w="2040" w:type="dxa"/>
            <w:tcBorders>
              <w:top w:val="nil"/>
              <w:left w:val="nil"/>
              <w:bottom w:val="nil"/>
              <w:right w:val="nil"/>
            </w:tcBorders>
            <w:shd w:val="clear" w:color="auto" w:fill="auto"/>
            <w:tcMar>
              <w:top w:w="100" w:type="dxa"/>
              <w:left w:w="100" w:type="dxa"/>
              <w:bottom w:w="100" w:type="dxa"/>
              <w:right w:w="100" w:type="dxa"/>
            </w:tcMar>
          </w:tcPr>
          <w:p w14:paraId="42473CA7"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41EEBD71"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7EE66BAB"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68BD743B"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4720F80A"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48EA9C1A" w14:textId="77777777" w:rsidR="00D401A7" w:rsidRDefault="00D401A7">
      <w:pPr>
        <w:spacing w:after="160" w:line="240" w:lineRule="auto"/>
        <w:ind w:right="-540"/>
        <w:rPr>
          <w:rFonts w:ascii="Calibri" w:eastAsia="Calibri" w:hAnsi="Calibri" w:cs="Calibri"/>
          <w:sz w:val="24"/>
          <w:szCs w:val="24"/>
        </w:rPr>
      </w:pPr>
    </w:p>
    <w:p w14:paraId="6B73740C" w14:textId="77777777" w:rsidR="00D401A7" w:rsidRDefault="00D401A7">
      <w:pPr>
        <w:spacing w:after="160" w:line="240" w:lineRule="auto"/>
        <w:ind w:right="-540"/>
        <w:rPr>
          <w:rFonts w:ascii="Calibri" w:eastAsia="Calibri" w:hAnsi="Calibri" w:cs="Calibri"/>
          <w:sz w:val="24"/>
          <w:szCs w:val="24"/>
        </w:rPr>
      </w:pPr>
    </w:p>
    <w:p w14:paraId="4737F20F" w14:textId="77777777" w:rsidR="00D401A7" w:rsidRDefault="00000000">
      <w:pPr>
        <w:numPr>
          <w:ilvl w:val="0"/>
          <w:numId w:val="5"/>
        </w:numPr>
        <w:spacing w:after="160"/>
        <w:ind w:right="-540"/>
        <w:rPr>
          <w:rFonts w:ascii="Calibri" w:eastAsia="Calibri" w:hAnsi="Calibri" w:cs="Calibri"/>
          <w:b/>
          <w:sz w:val="24"/>
          <w:szCs w:val="24"/>
        </w:rPr>
      </w:pPr>
      <w:r>
        <w:rPr>
          <w:rFonts w:ascii="Calibri" w:eastAsia="Calibri" w:hAnsi="Calibri" w:cs="Calibri"/>
          <w:b/>
          <w:sz w:val="24"/>
          <w:szCs w:val="24"/>
        </w:rPr>
        <w:t>How confident are you in managing the failed airway?</w:t>
      </w:r>
    </w:p>
    <w:tbl>
      <w:tblPr>
        <w:tblStyle w:val="affff9"/>
        <w:tblW w:w="94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860"/>
        <w:gridCol w:w="1860"/>
        <w:gridCol w:w="1860"/>
        <w:gridCol w:w="1860"/>
      </w:tblGrid>
      <w:tr w:rsidR="00D401A7" w14:paraId="22DA3632" w14:textId="77777777">
        <w:tc>
          <w:tcPr>
            <w:tcW w:w="1980" w:type="dxa"/>
            <w:tcBorders>
              <w:top w:val="nil"/>
              <w:left w:val="nil"/>
              <w:bottom w:val="nil"/>
              <w:right w:val="nil"/>
            </w:tcBorders>
            <w:shd w:val="clear" w:color="auto" w:fill="auto"/>
            <w:tcMar>
              <w:top w:w="100" w:type="dxa"/>
              <w:left w:w="100" w:type="dxa"/>
              <w:bottom w:w="100" w:type="dxa"/>
              <w:right w:w="100" w:type="dxa"/>
            </w:tcMar>
          </w:tcPr>
          <w:p w14:paraId="484E1379"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764DE39E"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Unconfident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25221C5C"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Neutral</w:t>
            </w:r>
          </w:p>
        </w:tc>
        <w:tc>
          <w:tcPr>
            <w:tcW w:w="1860" w:type="dxa"/>
            <w:tcBorders>
              <w:top w:val="nil"/>
              <w:left w:val="nil"/>
              <w:bottom w:val="nil"/>
              <w:right w:val="nil"/>
            </w:tcBorders>
            <w:shd w:val="clear" w:color="auto" w:fill="auto"/>
            <w:tcMar>
              <w:top w:w="100" w:type="dxa"/>
              <w:left w:w="100" w:type="dxa"/>
              <w:bottom w:w="100" w:type="dxa"/>
              <w:right w:w="100" w:type="dxa"/>
            </w:tcMar>
          </w:tcPr>
          <w:p w14:paraId="28A6C7EB"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Confident</w:t>
            </w:r>
          </w:p>
        </w:tc>
        <w:tc>
          <w:tcPr>
            <w:tcW w:w="1860" w:type="dxa"/>
            <w:tcBorders>
              <w:top w:val="nil"/>
              <w:left w:val="nil"/>
              <w:bottom w:val="nil"/>
              <w:right w:val="nil"/>
            </w:tcBorders>
            <w:shd w:val="clear" w:color="auto" w:fill="auto"/>
            <w:tcMar>
              <w:top w:w="100" w:type="dxa"/>
              <w:left w:w="100" w:type="dxa"/>
              <w:bottom w:w="100" w:type="dxa"/>
              <w:right w:w="100" w:type="dxa"/>
            </w:tcMar>
          </w:tcPr>
          <w:p w14:paraId="21505BB0" w14:textId="77777777" w:rsidR="00D401A7" w:rsidRDefault="00000000">
            <w:pPr>
              <w:widowControl w:val="0"/>
              <w:jc w:val="center"/>
              <w:rPr>
                <w:rFonts w:ascii="Calibri" w:eastAsia="Calibri" w:hAnsi="Calibri" w:cs="Calibri"/>
                <w:sz w:val="24"/>
                <w:szCs w:val="24"/>
              </w:rPr>
            </w:pPr>
            <w:r>
              <w:rPr>
                <w:rFonts w:ascii="Calibri" w:eastAsia="Calibri" w:hAnsi="Calibri" w:cs="Calibri"/>
                <w:sz w:val="24"/>
                <w:szCs w:val="24"/>
              </w:rPr>
              <w:t>Very Confident</w:t>
            </w:r>
          </w:p>
        </w:tc>
      </w:tr>
    </w:tbl>
    <w:p w14:paraId="285DEC0A" w14:textId="77777777" w:rsidR="00D401A7" w:rsidRDefault="00D401A7">
      <w:pPr>
        <w:spacing w:after="160" w:line="240" w:lineRule="auto"/>
        <w:ind w:right="-540"/>
        <w:rPr>
          <w:rFonts w:ascii="Calibri" w:eastAsia="Calibri" w:hAnsi="Calibri" w:cs="Calibri"/>
        </w:rPr>
      </w:pPr>
    </w:p>
    <w:p w14:paraId="3635073D" w14:textId="77777777" w:rsidR="00D401A7" w:rsidRDefault="00D401A7">
      <w:pPr>
        <w:spacing w:after="160" w:line="240" w:lineRule="auto"/>
        <w:ind w:right="-540"/>
        <w:rPr>
          <w:rFonts w:ascii="Calibri" w:eastAsia="Calibri" w:hAnsi="Calibri" w:cs="Calibri"/>
        </w:rPr>
      </w:pPr>
    </w:p>
    <w:p w14:paraId="2B636D34" w14:textId="77777777" w:rsidR="00D401A7" w:rsidRDefault="00D401A7">
      <w:pPr>
        <w:spacing w:after="160" w:line="240" w:lineRule="auto"/>
        <w:ind w:right="-540"/>
        <w:rPr>
          <w:rFonts w:ascii="Calibri" w:eastAsia="Calibri" w:hAnsi="Calibri" w:cs="Calibri"/>
        </w:rPr>
      </w:pPr>
    </w:p>
    <w:p w14:paraId="206126A7" w14:textId="77777777" w:rsidR="00D401A7" w:rsidRDefault="00D401A7">
      <w:pPr>
        <w:spacing w:after="160" w:line="240" w:lineRule="auto"/>
        <w:ind w:right="-540"/>
        <w:rPr>
          <w:rFonts w:ascii="Calibri" w:eastAsia="Calibri" w:hAnsi="Calibri" w:cs="Calibri"/>
        </w:rPr>
      </w:pPr>
    </w:p>
    <w:p w14:paraId="4A14A870" w14:textId="77777777" w:rsidR="00D401A7" w:rsidRDefault="00D401A7">
      <w:pPr>
        <w:spacing w:after="160" w:line="240" w:lineRule="auto"/>
        <w:ind w:right="-540"/>
        <w:rPr>
          <w:rFonts w:ascii="Calibri" w:eastAsia="Calibri" w:hAnsi="Calibri" w:cs="Calibri"/>
        </w:rPr>
      </w:pPr>
    </w:p>
    <w:p w14:paraId="158EAD60" w14:textId="77777777" w:rsidR="00D401A7" w:rsidRDefault="00D401A7">
      <w:pPr>
        <w:spacing w:after="160" w:line="240" w:lineRule="auto"/>
        <w:ind w:right="-540"/>
        <w:rPr>
          <w:rFonts w:ascii="Calibri" w:eastAsia="Calibri" w:hAnsi="Calibri" w:cs="Calibri"/>
        </w:rPr>
      </w:pPr>
    </w:p>
    <w:p w14:paraId="1D9E09CE" w14:textId="77777777" w:rsidR="00D401A7" w:rsidRDefault="00D401A7">
      <w:pPr>
        <w:spacing w:after="160" w:line="240" w:lineRule="auto"/>
        <w:ind w:right="-540"/>
        <w:rPr>
          <w:rFonts w:ascii="Calibri" w:eastAsia="Calibri" w:hAnsi="Calibri" w:cs="Calibri"/>
        </w:rPr>
      </w:pPr>
    </w:p>
    <w:p w14:paraId="52EAD3B7" w14:textId="77777777" w:rsidR="00D401A7" w:rsidRDefault="00D401A7">
      <w:pPr>
        <w:spacing w:after="160" w:line="240" w:lineRule="auto"/>
        <w:ind w:right="-540"/>
        <w:rPr>
          <w:rFonts w:ascii="Calibri" w:eastAsia="Calibri" w:hAnsi="Calibri" w:cs="Calibri"/>
        </w:rPr>
      </w:pPr>
    </w:p>
    <w:p w14:paraId="15C8EFF2" w14:textId="77777777" w:rsidR="00D401A7" w:rsidRDefault="00D401A7">
      <w:pPr>
        <w:spacing w:after="160" w:line="240" w:lineRule="auto"/>
        <w:ind w:right="-540"/>
        <w:rPr>
          <w:rFonts w:ascii="Calibri" w:eastAsia="Calibri" w:hAnsi="Calibri" w:cs="Calibri"/>
        </w:rPr>
      </w:pPr>
    </w:p>
    <w:p w14:paraId="58A9CFEF" w14:textId="77777777" w:rsidR="00D401A7" w:rsidRDefault="00D401A7">
      <w:pPr>
        <w:spacing w:after="160" w:line="240" w:lineRule="auto"/>
        <w:ind w:right="-540"/>
        <w:rPr>
          <w:rFonts w:ascii="Calibri" w:eastAsia="Calibri" w:hAnsi="Calibri" w:cs="Calibri"/>
        </w:rPr>
      </w:pPr>
    </w:p>
    <w:p w14:paraId="059AE66F" w14:textId="77777777" w:rsidR="00D401A7" w:rsidRDefault="00D401A7">
      <w:pPr>
        <w:spacing w:after="160" w:line="240" w:lineRule="auto"/>
        <w:ind w:right="-540"/>
        <w:rPr>
          <w:rFonts w:ascii="Calibri" w:eastAsia="Calibri" w:hAnsi="Calibri" w:cs="Calibri"/>
          <w:b/>
          <w:sz w:val="28"/>
          <w:szCs w:val="28"/>
        </w:rPr>
      </w:pPr>
    </w:p>
    <w:p w14:paraId="2286E54D" w14:textId="77777777" w:rsidR="00D401A7" w:rsidRDefault="00000000">
      <w:pPr>
        <w:spacing w:after="160" w:line="240" w:lineRule="auto"/>
        <w:ind w:right="-540"/>
        <w:jc w:val="center"/>
        <w:rPr>
          <w:rFonts w:ascii="Calibri" w:eastAsia="Calibri" w:hAnsi="Calibri" w:cs="Calibri"/>
          <w:b/>
          <w:sz w:val="28"/>
          <w:szCs w:val="28"/>
        </w:rPr>
      </w:pPr>
      <w:r>
        <w:rPr>
          <w:rFonts w:ascii="Calibri" w:eastAsia="Calibri" w:hAnsi="Calibri" w:cs="Calibri"/>
          <w:b/>
          <w:sz w:val="28"/>
          <w:szCs w:val="28"/>
        </w:rPr>
        <w:t xml:space="preserve">Post-education knowledge assessment </w:t>
      </w:r>
    </w:p>
    <w:p w14:paraId="2C177E8F" w14:textId="77777777" w:rsidR="00D401A7" w:rsidRDefault="00000000">
      <w:pPr>
        <w:spacing w:after="160" w:line="240" w:lineRule="auto"/>
        <w:ind w:right="-540"/>
        <w:jc w:val="center"/>
        <w:rPr>
          <w:rFonts w:ascii="Calibri" w:eastAsia="Calibri" w:hAnsi="Calibri" w:cs="Calibri"/>
        </w:rPr>
      </w:pPr>
      <w:r>
        <w:rPr>
          <w:rFonts w:ascii="Calibri" w:eastAsia="Calibri" w:hAnsi="Calibri" w:cs="Calibri"/>
        </w:rPr>
        <w:t xml:space="preserve">Please answer the following 10 questions by circling </w:t>
      </w:r>
      <w:r>
        <w:rPr>
          <w:rFonts w:ascii="Calibri" w:eastAsia="Calibri" w:hAnsi="Calibri" w:cs="Calibri"/>
          <w:u w:val="single"/>
        </w:rPr>
        <w:t>only one correct answer per question</w:t>
      </w:r>
      <w:r>
        <w:rPr>
          <w:rFonts w:ascii="Calibri" w:eastAsia="Calibri" w:hAnsi="Calibri" w:cs="Calibri"/>
        </w:rPr>
        <w:t>.</w:t>
      </w:r>
    </w:p>
    <w:p w14:paraId="1C5F07A6" w14:textId="77777777" w:rsidR="00D401A7" w:rsidRDefault="00000000">
      <w:pPr>
        <w:numPr>
          <w:ilvl w:val="0"/>
          <w:numId w:val="7"/>
        </w:numPr>
        <w:spacing w:line="240" w:lineRule="auto"/>
        <w:ind w:right="-540"/>
        <w:rPr>
          <w:rFonts w:ascii="Calibri" w:eastAsia="Calibri" w:hAnsi="Calibri" w:cs="Calibri"/>
        </w:rPr>
      </w:pPr>
      <w:r>
        <w:rPr>
          <w:rFonts w:ascii="Calibri" w:eastAsia="Calibri" w:hAnsi="Calibri" w:cs="Calibri"/>
          <w:b/>
        </w:rPr>
        <w:t xml:space="preserve"> True </w:t>
      </w:r>
      <w:r>
        <w:rPr>
          <w:rFonts w:ascii="Calibri" w:eastAsia="Calibri" w:hAnsi="Calibri" w:cs="Calibri"/>
        </w:rPr>
        <w:t xml:space="preserve">or </w:t>
      </w:r>
      <w:r>
        <w:rPr>
          <w:rFonts w:ascii="Calibri" w:eastAsia="Calibri" w:hAnsi="Calibri" w:cs="Calibri"/>
          <w:b/>
        </w:rPr>
        <w:t xml:space="preserve">False: </w:t>
      </w:r>
      <w:r>
        <w:rPr>
          <w:rFonts w:ascii="Calibri" w:eastAsia="Calibri" w:hAnsi="Calibri" w:cs="Calibri"/>
        </w:rPr>
        <w:t xml:space="preserve">The </w:t>
      </w:r>
      <w:proofErr w:type="spellStart"/>
      <w:r>
        <w:rPr>
          <w:rFonts w:ascii="Calibri" w:eastAsia="Calibri" w:hAnsi="Calibri" w:cs="Calibri"/>
        </w:rPr>
        <w:t>cricohyoid</w:t>
      </w:r>
      <w:proofErr w:type="spellEnd"/>
      <w:r>
        <w:rPr>
          <w:rFonts w:ascii="Calibri" w:eastAsia="Calibri" w:hAnsi="Calibri" w:cs="Calibri"/>
        </w:rPr>
        <w:t xml:space="preserve"> membrane is the anatomical structure that will be punctured during a cricothyrotomy.</w:t>
      </w:r>
    </w:p>
    <w:p w14:paraId="04B51AAA" w14:textId="77777777" w:rsidR="00D401A7" w:rsidRDefault="00D401A7">
      <w:pPr>
        <w:spacing w:line="240" w:lineRule="auto"/>
        <w:ind w:left="720" w:right="-540"/>
        <w:rPr>
          <w:rFonts w:ascii="Calibri" w:eastAsia="Calibri" w:hAnsi="Calibri" w:cs="Calibri"/>
        </w:rPr>
      </w:pPr>
    </w:p>
    <w:p w14:paraId="32CC9771" w14:textId="77777777" w:rsidR="00D401A7" w:rsidRDefault="00000000">
      <w:pPr>
        <w:numPr>
          <w:ilvl w:val="0"/>
          <w:numId w:val="1"/>
        </w:numPr>
        <w:spacing w:line="240" w:lineRule="auto"/>
        <w:ind w:right="-540"/>
        <w:rPr>
          <w:rFonts w:ascii="Calibri" w:eastAsia="Calibri" w:hAnsi="Calibri" w:cs="Calibri"/>
        </w:rPr>
      </w:pPr>
      <w:r>
        <w:rPr>
          <w:rFonts w:ascii="Calibri" w:eastAsia="Calibri" w:hAnsi="Calibri" w:cs="Calibri"/>
        </w:rPr>
        <w:t xml:space="preserve">Of the following steps required for a cricothyrotomy utilizing the </w:t>
      </w:r>
      <w:proofErr w:type="spellStart"/>
      <w:r>
        <w:rPr>
          <w:rFonts w:ascii="Calibri" w:eastAsia="Calibri" w:hAnsi="Calibri" w:cs="Calibri"/>
        </w:rPr>
        <w:t>Seldinger</w:t>
      </w:r>
      <w:proofErr w:type="spellEnd"/>
      <w:r>
        <w:rPr>
          <w:rFonts w:ascii="Calibri" w:eastAsia="Calibri" w:hAnsi="Calibri" w:cs="Calibri"/>
        </w:rPr>
        <w:t xml:space="preserve"> (percutaneous wide bore) technique, which step will be completed first?</w:t>
      </w:r>
    </w:p>
    <w:p w14:paraId="6DDA9FEB" w14:textId="77777777" w:rsidR="00D401A7" w:rsidRDefault="00D401A7">
      <w:pPr>
        <w:spacing w:line="240" w:lineRule="auto"/>
        <w:ind w:left="720" w:right="-540"/>
        <w:rPr>
          <w:rFonts w:ascii="Calibri" w:eastAsia="Calibri" w:hAnsi="Calibri" w:cs="Calibri"/>
        </w:rPr>
      </w:pPr>
    </w:p>
    <w:p w14:paraId="7735DA5A"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Using the scalpel to nick anatomical structures</w:t>
      </w:r>
    </w:p>
    <w:p w14:paraId="6806A2C2"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Aspiration of air to confirm needle placement</w:t>
      </w:r>
    </w:p>
    <w:p w14:paraId="619ED440"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Threading the airway catheter and dilator over the guidewire</w:t>
      </w:r>
    </w:p>
    <w:p w14:paraId="25418B0C"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Threading the guide wire through the catheter or needle</w:t>
      </w:r>
    </w:p>
    <w:p w14:paraId="5E7FFF22" w14:textId="77777777" w:rsidR="00D401A7" w:rsidRDefault="00000000">
      <w:pPr>
        <w:numPr>
          <w:ilvl w:val="0"/>
          <w:numId w:val="1"/>
        </w:numPr>
        <w:spacing w:after="160"/>
        <w:ind w:right="-540"/>
        <w:rPr>
          <w:rFonts w:ascii="Calibri" w:eastAsia="Calibri" w:hAnsi="Calibri" w:cs="Calibri"/>
        </w:rPr>
      </w:pPr>
      <w:r>
        <w:rPr>
          <w:rFonts w:ascii="Calibri" w:eastAsia="Calibri" w:hAnsi="Calibri" w:cs="Calibri"/>
        </w:rPr>
        <w:t xml:space="preserve">There are four generally accepted methods of establishing an emergency airway. Which of the following </w:t>
      </w:r>
      <w:r>
        <w:rPr>
          <w:rFonts w:ascii="Calibri" w:eastAsia="Calibri" w:hAnsi="Calibri" w:cs="Calibri"/>
          <w:b/>
          <w:u w:val="single"/>
        </w:rPr>
        <w:t>is NOT</w:t>
      </w:r>
      <w:r>
        <w:rPr>
          <w:rFonts w:ascii="Calibri" w:eastAsia="Calibri" w:hAnsi="Calibri" w:cs="Calibri"/>
        </w:rPr>
        <w:t xml:space="preserve"> one of these four generally accepted methods?</w:t>
      </w:r>
    </w:p>
    <w:p w14:paraId="6F6BA8E5" w14:textId="77777777" w:rsidR="00D401A7" w:rsidRDefault="00000000">
      <w:pPr>
        <w:numPr>
          <w:ilvl w:val="1"/>
          <w:numId w:val="1"/>
        </w:numPr>
        <w:spacing w:after="160"/>
        <w:ind w:right="-540"/>
        <w:rPr>
          <w:rFonts w:ascii="Calibri" w:eastAsia="Calibri" w:hAnsi="Calibri" w:cs="Calibri"/>
        </w:rPr>
      </w:pPr>
      <w:r>
        <w:rPr>
          <w:rFonts w:ascii="Times New Roman" w:eastAsia="Times New Roman" w:hAnsi="Times New Roman" w:cs="Times New Roman"/>
        </w:rPr>
        <w:t xml:space="preserve"> </w:t>
      </w:r>
      <w:r>
        <w:rPr>
          <w:rFonts w:ascii="Calibri" w:eastAsia="Calibri" w:hAnsi="Calibri" w:cs="Calibri"/>
        </w:rPr>
        <w:t>Open cricothyrotomy</w:t>
      </w:r>
    </w:p>
    <w:p w14:paraId="103B4877" w14:textId="77777777" w:rsidR="00D401A7" w:rsidRDefault="00000000">
      <w:pPr>
        <w:numPr>
          <w:ilvl w:val="1"/>
          <w:numId w:val="1"/>
        </w:numPr>
        <w:spacing w:after="160"/>
        <w:ind w:right="-540"/>
        <w:rPr>
          <w:rFonts w:ascii="Calibri" w:eastAsia="Calibri" w:hAnsi="Calibri" w:cs="Calibri"/>
        </w:rPr>
      </w:pPr>
      <w:r>
        <w:rPr>
          <w:rFonts w:ascii="Times New Roman" w:eastAsia="Times New Roman" w:hAnsi="Times New Roman" w:cs="Times New Roman"/>
        </w:rPr>
        <w:t xml:space="preserve"> </w:t>
      </w:r>
      <w:proofErr w:type="spellStart"/>
      <w:r>
        <w:rPr>
          <w:rFonts w:ascii="Calibri" w:eastAsia="Calibri" w:hAnsi="Calibri" w:cs="Calibri"/>
        </w:rPr>
        <w:t>Seldinger</w:t>
      </w:r>
      <w:proofErr w:type="spellEnd"/>
      <w:r>
        <w:rPr>
          <w:rFonts w:ascii="Calibri" w:eastAsia="Calibri" w:hAnsi="Calibri" w:cs="Calibri"/>
        </w:rPr>
        <w:t xml:space="preserve"> cricothyrotomy (percutaneous wide bore)</w:t>
      </w:r>
    </w:p>
    <w:p w14:paraId="4D57A6AA" w14:textId="77777777" w:rsidR="00D401A7" w:rsidRDefault="00000000">
      <w:pPr>
        <w:numPr>
          <w:ilvl w:val="1"/>
          <w:numId w:val="1"/>
        </w:numPr>
        <w:spacing w:after="160"/>
        <w:ind w:right="-540"/>
        <w:rPr>
          <w:rFonts w:ascii="Calibri" w:eastAsia="Calibri" w:hAnsi="Calibri" w:cs="Calibri"/>
        </w:rPr>
      </w:pPr>
      <w:r>
        <w:rPr>
          <w:rFonts w:ascii="Times New Roman" w:eastAsia="Times New Roman" w:hAnsi="Times New Roman" w:cs="Times New Roman"/>
        </w:rPr>
        <w:t xml:space="preserve"> </w:t>
      </w:r>
      <w:r>
        <w:rPr>
          <w:rFonts w:ascii="Calibri" w:eastAsia="Calibri" w:hAnsi="Calibri" w:cs="Calibri"/>
        </w:rPr>
        <w:t>Scalpel-bougie cricothyrotomy</w:t>
      </w:r>
    </w:p>
    <w:p w14:paraId="36A1B2C2"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Transtracheal catheter ventilation (percutaneous small-bore)</w:t>
      </w:r>
    </w:p>
    <w:p w14:paraId="74537EA3" w14:textId="77777777" w:rsidR="00D401A7" w:rsidRDefault="00000000">
      <w:pPr>
        <w:numPr>
          <w:ilvl w:val="1"/>
          <w:numId w:val="1"/>
        </w:numPr>
        <w:ind w:right="-540"/>
        <w:rPr>
          <w:rFonts w:ascii="Calibri" w:eastAsia="Calibri" w:hAnsi="Calibri" w:cs="Calibri"/>
        </w:rPr>
      </w:pPr>
      <w:r>
        <w:rPr>
          <w:rFonts w:ascii="Calibri" w:eastAsia="Calibri" w:hAnsi="Calibri" w:cs="Calibri"/>
        </w:rPr>
        <w:t xml:space="preserve">Transtracheal direct laryngoscopy </w:t>
      </w:r>
    </w:p>
    <w:p w14:paraId="422E1BF7" w14:textId="77777777" w:rsidR="00D401A7" w:rsidRDefault="00D401A7">
      <w:pPr>
        <w:ind w:left="1440" w:right="-540"/>
        <w:rPr>
          <w:rFonts w:ascii="Calibri" w:eastAsia="Calibri" w:hAnsi="Calibri" w:cs="Calibri"/>
        </w:rPr>
      </w:pPr>
    </w:p>
    <w:p w14:paraId="7DF3AA2B" w14:textId="77777777" w:rsidR="00D401A7" w:rsidRDefault="00000000">
      <w:pPr>
        <w:numPr>
          <w:ilvl w:val="0"/>
          <w:numId w:val="1"/>
        </w:numPr>
        <w:ind w:right="-540"/>
        <w:rPr>
          <w:rFonts w:ascii="Calibri" w:eastAsia="Calibri" w:hAnsi="Calibri" w:cs="Calibri"/>
        </w:rPr>
      </w:pPr>
      <w:r>
        <w:rPr>
          <w:rFonts w:ascii="Calibri" w:eastAsia="Calibri" w:hAnsi="Calibri" w:cs="Calibri"/>
          <w:b/>
        </w:rPr>
        <w:t xml:space="preserve">True </w:t>
      </w:r>
      <w:r>
        <w:rPr>
          <w:rFonts w:ascii="Calibri" w:eastAsia="Calibri" w:hAnsi="Calibri" w:cs="Calibri"/>
        </w:rPr>
        <w:t xml:space="preserve">or </w:t>
      </w:r>
      <w:r>
        <w:rPr>
          <w:rFonts w:ascii="Calibri" w:eastAsia="Calibri" w:hAnsi="Calibri" w:cs="Calibri"/>
          <w:b/>
        </w:rPr>
        <w:t>False:</w:t>
      </w:r>
      <w:r>
        <w:rPr>
          <w:rFonts w:ascii="Calibri" w:eastAsia="Calibri" w:hAnsi="Calibri" w:cs="Calibri"/>
        </w:rPr>
        <w:t xml:space="preserve"> There are no absolute contraindication to performing a cricothyrotomy</w:t>
      </w:r>
    </w:p>
    <w:p w14:paraId="07D432DA" w14:textId="77777777" w:rsidR="00D401A7" w:rsidRDefault="00D401A7">
      <w:pPr>
        <w:ind w:left="720" w:right="-540"/>
        <w:rPr>
          <w:rFonts w:ascii="Calibri" w:eastAsia="Calibri" w:hAnsi="Calibri" w:cs="Calibri"/>
        </w:rPr>
      </w:pPr>
    </w:p>
    <w:p w14:paraId="72AF9927" w14:textId="77777777" w:rsidR="00D401A7" w:rsidRDefault="00000000">
      <w:pPr>
        <w:numPr>
          <w:ilvl w:val="0"/>
          <w:numId w:val="1"/>
        </w:numPr>
        <w:spacing w:after="160"/>
        <w:ind w:right="-540"/>
        <w:rPr>
          <w:rFonts w:ascii="Calibri" w:eastAsia="Calibri" w:hAnsi="Calibri" w:cs="Calibri"/>
        </w:rPr>
      </w:pPr>
      <w:r>
        <w:rPr>
          <w:rFonts w:ascii="Calibri" w:eastAsia="Calibri" w:hAnsi="Calibri" w:cs="Calibri"/>
        </w:rPr>
        <w:t xml:space="preserve">The following are predictors of a difficult surgical airway </w:t>
      </w:r>
      <w:r>
        <w:rPr>
          <w:rFonts w:ascii="Calibri" w:eastAsia="Calibri" w:hAnsi="Calibri" w:cs="Calibri"/>
          <w:b/>
          <w:u w:val="single"/>
        </w:rPr>
        <w:t>except</w:t>
      </w:r>
      <w:r>
        <w:rPr>
          <w:rFonts w:ascii="Calibri" w:eastAsia="Calibri" w:hAnsi="Calibri" w:cs="Calibri"/>
        </w:rPr>
        <w:t>?</w:t>
      </w:r>
    </w:p>
    <w:p w14:paraId="559363B4"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Past surgery in the neck area</w:t>
      </w:r>
    </w:p>
    <w:p w14:paraId="1264D805"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Obesity</w:t>
      </w:r>
    </w:p>
    <w:p w14:paraId="41BFF34F" w14:textId="77777777" w:rsidR="00D401A7" w:rsidRDefault="00000000">
      <w:pPr>
        <w:numPr>
          <w:ilvl w:val="1"/>
          <w:numId w:val="1"/>
        </w:numPr>
        <w:spacing w:after="160"/>
        <w:ind w:right="-540"/>
        <w:rPr>
          <w:rFonts w:ascii="Calibri" w:eastAsia="Calibri" w:hAnsi="Calibri" w:cs="Calibri"/>
        </w:rPr>
      </w:pPr>
      <w:r>
        <w:rPr>
          <w:rFonts w:ascii="Calibri" w:eastAsia="Calibri" w:hAnsi="Calibri" w:cs="Calibri"/>
        </w:rPr>
        <w:t>Past radiation to the neck</w:t>
      </w:r>
    </w:p>
    <w:p w14:paraId="7BE60014" w14:textId="77777777" w:rsidR="00D401A7" w:rsidRDefault="00000000">
      <w:pPr>
        <w:numPr>
          <w:ilvl w:val="1"/>
          <w:numId w:val="1"/>
        </w:numPr>
        <w:spacing w:after="160" w:line="240" w:lineRule="auto"/>
        <w:ind w:right="-540"/>
        <w:rPr>
          <w:rFonts w:ascii="Calibri" w:eastAsia="Calibri" w:hAnsi="Calibri" w:cs="Calibri"/>
        </w:rPr>
      </w:pPr>
      <w:r>
        <w:rPr>
          <w:rFonts w:ascii="Calibri" w:eastAsia="Calibri" w:hAnsi="Calibri" w:cs="Calibri"/>
        </w:rPr>
        <w:t xml:space="preserve">Grade four </w:t>
      </w:r>
      <w:proofErr w:type="spellStart"/>
      <w:r>
        <w:rPr>
          <w:rFonts w:ascii="Calibri" w:eastAsia="Calibri" w:hAnsi="Calibri" w:cs="Calibri"/>
        </w:rPr>
        <w:t>Mallampati</w:t>
      </w:r>
      <w:proofErr w:type="spellEnd"/>
      <w:r>
        <w:rPr>
          <w:rFonts w:ascii="Calibri" w:eastAsia="Calibri" w:hAnsi="Calibri" w:cs="Calibri"/>
        </w:rPr>
        <w:t xml:space="preserve"> </w:t>
      </w:r>
    </w:p>
    <w:p w14:paraId="419DEC10" w14:textId="77777777" w:rsidR="00D401A7" w:rsidRDefault="00D401A7">
      <w:pPr>
        <w:spacing w:after="160" w:line="240" w:lineRule="auto"/>
        <w:ind w:left="1440" w:right="-540"/>
        <w:rPr>
          <w:rFonts w:ascii="Calibri" w:eastAsia="Calibri" w:hAnsi="Calibri" w:cs="Calibri"/>
        </w:rPr>
      </w:pPr>
    </w:p>
    <w:p w14:paraId="6275F1C2" w14:textId="77777777" w:rsidR="00D401A7" w:rsidRDefault="00000000">
      <w:pPr>
        <w:numPr>
          <w:ilvl w:val="0"/>
          <w:numId w:val="1"/>
        </w:numPr>
        <w:spacing w:line="360" w:lineRule="auto"/>
        <w:rPr>
          <w:rFonts w:ascii="Calibri" w:eastAsia="Calibri" w:hAnsi="Calibri" w:cs="Calibri"/>
        </w:rPr>
      </w:pPr>
      <w:r>
        <w:rPr>
          <w:rFonts w:ascii="Calibri" w:eastAsia="Calibri" w:hAnsi="Calibri" w:cs="Calibri"/>
          <w:b/>
        </w:rPr>
        <w:t>True</w:t>
      </w:r>
      <w:r>
        <w:rPr>
          <w:rFonts w:ascii="Calibri" w:eastAsia="Calibri" w:hAnsi="Calibri" w:cs="Calibri"/>
        </w:rPr>
        <w:t xml:space="preserve"> or </w:t>
      </w:r>
      <w:r>
        <w:rPr>
          <w:rFonts w:ascii="Calibri" w:eastAsia="Calibri" w:hAnsi="Calibri" w:cs="Calibri"/>
          <w:b/>
        </w:rPr>
        <w:t>False</w:t>
      </w:r>
      <w:r>
        <w:rPr>
          <w:rFonts w:ascii="Calibri" w:eastAsia="Calibri" w:hAnsi="Calibri" w:cs="Calibri"/>
        </w:rPr>
        <w:t>: The open surgical cricothyrotomy is the preferred method for obtaining an emergency surgical airway in the pediatric population.</w:t>
      </w:r>
    </w:p>
    <w:p w14:paraId="61C89869" w14:textId="77777777" w:rsidR="00D401A7" w:rsidRDefault="00D401A7">
      <w:pPr>
        <w:spacing w:line="360" w:lineRule="auto"/>
        <w:ind w:left="720"/>
        <w:rPr>
          <w:rFonts w:ascii="Calibri" w:eastAsia="Calibri" w:hAnsi="Calibri" w:cs="Calibri"/>
        </w:rPr>
      </w:pPr>
    </w:p>
    <w:p w14:paraId="678BD46D" w14:textId="77777777" w:rsidR="00D401A7" w:rsidRDefault="00D401A7">
      <w:pPr>
        <w:spacing w:line="360" w:lineRule="auto"/>
        <w:ind w:left="720"/>
        <w:rPr>
          <w:rFonts w:ascii="Calibri" w:eastAsia="Calibri" w:hAnsi="Calibri" w:cs="Calibri"/>
        </w:rPr>
      </w:pPr>
    </w:p>
    <w:p w14:paraId="7A614318" w14:textId="77777777" w:rsidR="00D401A7" w:rsidRDefault="00D401A7">
      <w:pPr>
        <w:spacing w:line="360" w:lineRule="auto"/>
        <w:ind w:left="720"/>
        <w:rPr>
          <w:rFonts w:ascii="Calibri" w:eastAsia="Calibri" w:hAnsi="Calibri" w:cs="Calibri"/>
        </w:rPr>
      </w:pPr>
    </w:p>
    <w:p w14:paraId="0057E656" w14:textId="77777777" w:rsidR="00D401A7" w:rsidRDefault="00000000">
      <w:pPr>
        <w:numPr>
          <w:ilvl w:val="0"/>
          <w:numId w:val="1"/>
        </w:numPr>
        <w:spacing w:line="360" w:lineRule="auto"/>
        <w:rPr>
          <w:rFonts w:ascii="Calibri" w:eastAsia="Calibri" w:hAnsi="Calibri" w:cs="Calibri"/>
        </w:rPr>
      </w:pPr>
      <w:r>
        <w:rPr>
          <w:rFonts w:ascii="Calibri" w:eastAsia="Calibri" w:hAnsi="Calibri" w:cs="Calibri"/>
        </w:rPr>
        <w:t>The following equipment is likely to be included in a cricothyrotomy kit</w:t>
      </w:r>
      <w:r>
        <w:rPr>
          <w:rFonts w:ascii="Calibri" w:eastAsia="Calibri" w:hAnsi="Calibri" w:cs="Calibri"/>
          <w:b/>
        </w:rPr>
        <w:t xml:space="preserve"> </w:t>
      </w:r>
      <w:r>
        <w:rPr>
          <w:rFonts w:ascii="Calibri" w:eastAsia="Calibri" w:hAnsi="Calibri" w:cs="Calibri"/>
          <w:b/>
          <w:u w:val="single"/>
        </w:rPr>
        <w:t>except</w:t>
      </w:r>
      <w:r>
        <w:rPr>
          <w:rFonts w:ascii="Calibri" w:eastAsia="Calibri" w:hAnsi="Calibri" w:cs="Calibri"/>
        </w:rPr>
        <w:t>?</w:t>
      </w:r>
    </w:p>
    <w:p w14:paraId="472C1309"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A bougie</w:t>
      </w:r>
    </w:p>
    <w:p w14:paraId="00E3170B"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 xml:space="preserve">A guide </w:t>
      </w:r>
      <w:proofErr w:type="gramStart"/>
      <w:r>
        <w:rPr>
          <w:rFonts w:ascii="Calibri" w:eastAsia="Calibri" w:hAnsi="Calibri" w:cs="Calibri"/>
        </w:rPr>
        <w:t>wire</w:t>
      </w:r>
      <w:proofErr w:type="gramEnd"/>
    </w:p>
    <w:p w14:paraId="22F7A989"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A scalpel</w:t>
      </w:r>
    </w:p>
    <w:p w14:paraId="122FAA84"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A syringe and needle</w:t>
      </w:r>
    </w:p>
    <w:p w14:paraId="49AD3C58" w14:textId="77777777" w:rsidR="00D401A7" w:rsidRDefault="00000000">
      <w:pPr>
        <w:numPr>
          <w:ilvl w:val="0"/>
          <w:numId w:val="1"/>
        </w:numPr>
        <w:spacing w:line="360" w:lineRule="auto"/>
        <w:rPr>
          <w:rFonts w:ascii="Calibri" w:eastAsia="Calibri" w:hAnsi="Calibri" w:cs="Calibri"/>
        </w:rPr>
      </w:pPr>
      <w:r>
        <w:rPr>
          <w:rFonts w:ascii="Calibri" w:eastAsia="Calibri" w:hAnsi="Calibri" w:cs="Calibri"/>
        </w:rPr>
        <w:t>Utilizing standard anatomical position, what structure is immediately inferior to the thyroid cartilage (closer to the feet)?</w:t>
      </w:r>
    </w:p>
    <w:p w14:paraId="15F0C883"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Hyoid bone</w:t>
      </w:r>
    </w:p>
    <w:p w14:paraId="5148FECA" w14:textId="77777777" w:rsidR="00D401A7" w:rsidRDefault="00000000">
      <w:pPr>
        <w:numPr>
          <w:ilvl w:val="1"/>
          <w:numId w:val="1"/>
        </w:numPr>
        <w:spacing w:line="360" w:lineRule="auto"/>
        <w:rPr>
          <w:rFonts w:ascii="Calibri" w:eastAsia="Calibri" w:hAnsi="Calibri" w:cs="Calibri"/>
        </w:rPr>
      </w:pPr>
      <w:proofErr w:type="spellStart"/>
      <w:r>
        <w:rPr>
          <w:rFonts w:ascii="Calibri" w:eastAsia="Calibri" w:hAnsi="Calibri" w:cs="Calibri"/>
        </w:rPr>
        <w:t>Cricohyoid</w:t>
      </w:r>
      <w:proofErr w:type="spellEnd"/>
      <w:r>
        <w:rPr>
          <w:rFonts w:ascii="Calibri" w:eastAsia="Calibri" w:hAnsi="Calibri" w:cs="Calibri"/>
        </w:rPr>
        <w:t xml:space="preserve"> membrane </w:t>
      </w:r>
    </w:p>
    <w:p w14:paraId="786363DF"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Cricothyroid membrane</w:t>
      </w:r>
    </w:p>
    <w:p w14:paraId="17FB4FB6"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Thyroid gland</w:t>
      </w:r>
    </w:p>
    <w:p w14:paraId="1F2DA999" w14:textId="77777777" w:rsidR="00D401A7" w:rsidRDefault="00000000">
      <w:pPr>
        <w:numPr>
          <w:ilvl w:val="0"/>
          <w:numId w:val="1"/>
        </w:numPr>
        <w:spacing w:after="200" w:line="360" w:lineRule="auto"/>
        <w:rPr>
          <w:rFonts w:ascii="Calibri" w:eastAsia="Calibri" w:hAnsi="Calibri" w:cs="Calibri"/>
        </w:rPr>
      </w:pPr>
      <w:r>
        <w:rPr>
          <w:rFonts w:ascii="Calibri" w:eastAsia="Calibri" w:hAnsi="Calibri" w:cs="Calibri"/>
          <w:b/>
        </w:rPr>
        <w:t>True</w:t>
      </w:r>
      <w:r>
        <w:rPr>
          <w:rFonts w:ascii="Calibri" w:eastAsia="Calibri" w:hAnsi="Calibri" w:cs="Calibri"/>
        </w:rPr>
        <w:t xml:space="preserve"> or </w:t>
      </w:r>
      <w:r>
        <w:rPr>
          <w:rFonts w:ascii="Calibri" w:eastAsia="Calibri" w:hAnsi="Calibri" w:cs="Calibri"/>
          <w:b/>
        </w:rPr>
        <w:t>False</w:t>
      </w:r>
      <w:r>
        <w:rPr>
          <w:rFonts w:ascii="Calibri" w:eastAsia="Calibri" w:hAnsi="Calibri" w:cs="Calibri"/>
        </w:rPr>
        <w:t xml:space="preserve">: When performing a cricothyrotomy, a second provider should </w:t>
      </w:r>
      <w:r>
        <w:rPr>
          <w:rFonts w:ascii="Calibri" w:eastAsia="Calibri" w:hAnsi="Calibri" w:cs="Calibri"/>
          <w:b/>
          <w:u w:val="single"/>
        </w:rPr>
        <w:t>not</w:t>
      </w:r>
      <w:r>
        <w:rPr>
          <w:rFonts w:ascii="Calibri" w:eastAsia="Calibri" w:hAnsi="Calibri" w:cs="Calibri"/>
        </w:rPr>
        <w:t xml:space="preserve"> provide apneic oxygenation via a bag-mask device as it has been shown to lower success rates of the surgical airway.</w:t>
      </w:r>
    </w:p>
    <w:p w14:paraId="35D01A11" w14:textId="77777777" w:rsidR="00D401A7" w:rsidRDefault="00000000">
      <w:pPr>
        <w:numPr>
          <w:ilvl w:val="0"/>
          <w:numId w:val="1"/>
        </w:numPr>
        <w:spacing w:after="200" w:line="360" w:lineRule="auto"/>
        <w:rPr>
          <w:rFonts w:ascii="Calibri" w:eastAsia="Calibri" w:hAnsi="Calibri" w:cs="Calibri"/>
        </w:rPr>
      </w:pPr>
      <w:r>
        <w:rPr>
          <w:rFonts w:ascii="Calibri" w:eastAsia="Calibri" w:hAnsi="Calibri" w:cs="Calibri"/>
        </w:rPr>
        <w:t xml:space="preserve"> Fill in the blank: It is recommended for an emergency cricothyrotomy that a right-handed provider stand at/on the __________</w:t>
      </w:r>
      <w:proofErr w:type="gramStart"/>
      <w:r>
        <w:rPr>
          <w:rFonts w:ascii="Calibri" w:eastAsia="Calibri" w:hAnsi="Calibri" w:cs="Calibri"/>
        </w:rPr>
        <w:t>_ .</w:t>
      </w:r>
      <w:proofErr w:type="gramEnd"/>
    </w:p>
    <w:p w14:paraId="0B84BC98"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Head of the bed</w:t>
      </w:r>
    </w:p>
    <w:p w14:paraId="7E43D274"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Patient’s left side</w:t>
      </w:r>
    </w:p>
    <w:p w14:paraId="0AEDB809" w14:textId="77777777" w:rsidR="00D401A7" w:rsidRDefault="00000000">
      <w:pPr>
        <w:numPr>
          <w:ilvl w:val="1"/>
          <w:numId w:val="1"/>
        </w:numPr>
        <w:spacing w:line="360" w:lineRule="auto"/>
        <w:rPr>
          <w:rFonts w:ascii="Calibri" w:eastAsia="Calibri" w:hAnsi="Calibri" w:cs="Calibri"/>
        </w:rPr>
      </w:pPr>
      <w:r>
        <w:rPr>
          <w:rFonts w:ascii="Calibri" w:eastAsia="Calibri" w:hAnsi="Calibri" w:cs="Calibri"/>
        </w:rPr>
        <w:t>Foot of the bed</w:t>
      </w:r>
    </w:p>
    <w:p w14:paraId="5CB9E98A" w14:textId="77777777" w:rsidR="00D401A7" w:rsidRDefault="00000000">
      <w:pPr>
        <w:numPr>
          <w:ilvl w:val="1"/>
          <w:numId w:val="1"/>
        </w:numPr>
        <w:spacing w:after="160" w:line="360" w:lineRule="auto"/>
        <w:rPr>
          <w:rFonts w:ascii="Calibri" w:eastAsia="Calibri" w:hAnsi="Calibri" w:cs="Calibri"/>
        </w:rPr>
      </w:pPr>
      <w:r>
        <w:rPr>
          <w:rFonts w:ascii="Calibri" w:eastAsia="Calibri" w:hAnsi="Calibri" w:cs="Calibri"/>
        </w:rPr>
        <w:t>Patient’s right side</w:t>
      </w:r>
    </w:p>
    <w:p w14:paraId="63413CC8" w14:textId="77777777" w:rsidR="00D401A7" w:rsidRDefault="00D401A7">
      <w:pPr>
        <w:spacing w:after="160" w:line="360" w:lineRule="auto"/>
        <w:rPr>
          <w:rFonts w:ascii="Calibri" w:eastAsia="Calibri" w:hAnsi="Calibri" w:cs="Calibri"/>
        </w:rPr>
      </w:pPr>
    </w:p>
    <w:p w14:paraId="58C5A2D7" w14:textId="77777777" w:rsidR="00D401A7" w:rsidRDefault="00D401A7">
      <w:pPr>
        <w:spacing w:after="160" w:line="360" w:lineRule="auto"/>
        <w:jc w:val="center"/>
        <w:rPr>
          <w:rFonts w:ascii="Calibri" w:eastAsia="Calibri" w:hAnsi="Calibri" w:cs="Calibri"/>
          <w:sz w:val="26"/>
          <w:szCs w:val="26"/>
        </w:rPr>
      </w:pPr>
    </w:p>
    <w:p w14:paraId="3104F84F" w14:textId="77777777" w:rsidR="00D401A7" w:rsidRDefault="00D401A7">
      <w:pPr>
        <w:spacing w:after="160" w:line="360" w:lineRule="auto"/>
        <w:jc w:val="center"/>
        <w:rPr>
          <w:rFonts w:ascii="Calibri" w:eastAsia="Calibri" w:hAnsi="Calibri" w:cs="Calibri"/>
          <w:sz w:val="26"/>
          <w:szCs w:val="26"/>
        </w:rPr>
      </w:pPr>
    </w:p>
    <w:p w14:paraId="26B6BF40" w14:textId="77777777" w:rsidR="00D401A7" w:rsidRDefault="00000000">
      <w:pPr>
        <w:spacing w:after="160" w:line="360" w:lineRule="auto"/>
        <w:jc w:val="center"/>
        <w:rPr>
          <w:rFonts w:ascii="Calibri" w:eastAsia="Calibri" w:hAnsi="Calibri" w:cs="Calibri"/>
          <w:b/>
          <w:sz w:val="34"/>
          <w:szCs w:val="34"/>
        </w:rPr>
      </w:pPr>
      <w:r>
        <w:rPr>
          <w:rFonts w:ascii="Calibri" w:eastAsia="Calibri" w:hAnsi="Calibri" w:cs="Calibri"/>
          <w:sz w:val="26"/>
          <w:szCs w:val="26"/>
        </w:rPr>
        <w:t>Continue to next page.</w:t>
      </w:r>
    </w:p>
    <w:tbl>
      <w:tblPr>
        <w:tblStyle w:val="affffa"/>
        <w:tblW w:w="970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980"/>
        <w:gridCol w:w="1830"/>
        <w:gridCol w:w="1560"/>
        <w:gridCol w:w="2025"/>
      </w:tblGrid>
      <w:tr w:rsidR="00D401A7" w14:paraId="7D673391" w14:textId="77777777">
        <w:trPr>
          <w:trHeight w:val="540"/>
        </w:trPr>
        <w:tc>
          <w:tcPr>
            <w:tcW w:w="9705" w:type="dxa"/>
            <w:gridSpan w:val="5"/>
            <w:tcBorders>
              <w:top w:val="nil"/>
              <w:left w:val="nil"/>
              <w:bottom w:val="nil"/>
              <w:right w:val="nil"/>
            </w:tcBorders>
            <w:shd w:val="clear" w:color="auto" w:fill="auto"/>
            <w:tcMar>
              <w:top w:w="100" w:type="dxa"/>
              <w:left w:w="100" w:type="dxa"/>
              <w:bottom w:w="100" w:type="dxa"/>
              <w:right w:w="100" w:type="dxa"/>
            </w:tcMar>
          </w:tcPr>
          <w:p w14:paraId="4BD3B7D7" w14:textId="77777777" w:rsidR="00D401A7" w:rsidRDefault="00D401A7">
            <w:pPr>
              <w:widowControl w:val="0"/>
              <w:rPr>
                <w:rFonts w:ascii="Calibri" w:eastAsia="Calibri" w:hAnsi="Calibri" w:cs="Calibri"/>
                <w:b/>
                <w:sz w:val="24"/>
                <w:szCs w:val="24"/>
              </w:rPr>
            </w:pPr>
          </w:p>
          <w:p w14:paraId="144098C9" w14:textId="77777777" w:rsidR="00D401A7" w:rsidRDefault="00D401A7">
            <w:pPr>
              <w:widowControl w:val="0"/>
              <w:rPr>
                <w:rFonts w:ascii="Calibri" w:eastAsia="Calibri" w:hAnsi="Calibri" w:cs="Calibri"/>
                <w:b/>
                <w:sz w:val="24"/>
                <w:szCs w:val="24"/>
              </w:rPr>
            </w:pPr>
          </w:p>
          <w:p w14:paraId="0D321D28" w14:textId="77777777" w:rsidR="00D401A7" w:rsidRDefault="00D401A7">
            <w:pPr>
              <w:widowControl w:val="0"/>
              <w:rPr>
                <w:rFonts w:ascii="Calibri" w:eastAsia="Calibri" w:hAnsi="Calibri" w:cs="Calibri"/>
                <w:b/>
                <w:sz w:val="24"/>
                <w:szCs w:val="24"/>
              </w:rPr>
            </w:pPr>
          </w:p>
          <w:p w14:paraId="56953B9B" w14:textId="77777777" w:rsidR="00D401A7" w:rsidRDefault="00D401A7">
            <w:pPr>
              <w:widowControl w:val="0"/>
              <w:rPr>
                <w:rFonts w:ascii="Calibri" w:eastAsia="Calibri" w:hAnsi="Calibri" w:cs="Calibri"/>
                <w:b/>
                <w:sz w:val="24"/>
                <w:szCs w:val="24"/>
              </w:rPr>
            </w:pPr>
          </w:p>
          <w:p w14:paraId="361C8C5D" w14:textId="77777777" w:rsidR="00D401A7" w:rsidRDefault="00D401A7">
            <w:pPr>
              <w:widowControl w:val="0"/>
              <w:rPr>
                <w:rFonts w:ascii="Calibri" w:eastAsia="Calibri" w:hAnsi="Calibri" w:cs="Calibri"/>
                <w:b/>
                <w:sz w:val="24"/>
                <w:szCs w:val="24"/>
              </w:rPr>
            </w:pPr>
          </w:p>
          <w:p w14:paraId="0041AA93" w14:textId="77777777" w:rsidR="00D401A7" w:rsidRDefault="00000000">
            <w:pPr>
              <w:widowControl w:val="0"/>
              <w:jc w:val="center"/>
              <w:rPr>
                <w:rFonts w:ascii="Calibri" w:eastAsia="Calibri" w:hAnsi="Calibri" w:cs="Calibri"/>
                <w:b/>
                <w:sz w:val="24"/>
                <w:szCs w:val="24"/>
              </w:rPr>
            </w:pPr>
            <w:r>
              <w:rPr>
                <w:rFonts w:ascii="Calibri" w:eastAsia="Calibri" w:hAnsi="Calibri" w:cs="Calibri"/>
                <w:b/>
                <w:sz w:val="24"/>
                <w:szCs w:val="24"/>
              </w:rPr>
              <w:t>Technology Usability Survey</w:t>
            </w:r>
          </w:p>
          <w:p w14:paraId="72397442" w14:textId="77777777" w:rsidR="00D401A7" w:rsidRDefault="00D401A7">
            <w:pPr>
              <w:widowControl w:val="0"/>
              <w:ind w:left="720"/>
              <w:jc w:val="center"/>
              <w:rPr>
                <w:rFonts w:ascii="Calibri" w:eastAsia="Calibri" w:hAnsi="Calibri" w:cs="Calibri"/>
                <w:b/>
                <w:sz w:val="24"/>
                <w:szCs w:val="24"/>
              </w:rPr>
            </w:pPr>
          </w:p>
          <w:p w14:paraId="212E0449" w14:textId="77777777" w:rsidR="00D401A7" w:rsidRDefault="00000000">
            <w:pPr>
              <w:widowControl w:val="0"/>
              <w:numPr>
                <w:ilvl w:val="0"/>
                <w:numId w:val="2"/>
              </w:numPr>
              <w:rPr>
                <w:rFonts w:ascii="Calibri" w:eastAsia="Calibri" w:hAnsi="Calibri" w:cs="Calibri"/>
                <w:b/>
                <w:sz w:val="24"/>
                <w:szCs w:val="24"/>
              </w:rPr>
            </w:pPr>
            <w:r>
              <w:rPr>
                <w:rFonts w:ascii="Calibri" w:eastAsia="Calibri" w:hAnsi="Calibri" w:cs="Calibri"/>
                <w:b/>
                <w:sz w:val="24"/>
                <w:szCs w:val="24"/>
              </w:rPr>
              <w:t>The learning module was easy to use</w:t>
            </w:r>
          </w:p>
        </w:tc>
      </w:tr>
      <w:tr w:rsidR="00D401A7" w14:paraId="4842C735" w14:textId="77777777">
        <w:tc>
          <w:tcPr>
            <w:tcW w:w="2310" w:type="dxa"/>
            <w:tcBorders>
              <w:top w:val="nil"/>
              <w:left w:val="nil"/>
              <w:bottom w:val="nil"/>
              <w:right w:val="nil"/>
            </w:tcBorders>
            <w:shd w:val="clear" w:color="auto" w:fill="auto"/>
            <w:tcMar>
              <w:top w:w="100" w:type="dxa"/>
              <w:left w:w="100" w:type="dxa"/>
              <w:bottom w:w="100" w:type="dxa"/>
              <w:right w:w="100" w:type="dxa"/>
            </w:tcMar>
          </w:tcPr>
          <w:p w14:paraId="7B3233B7"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Strongly Disagree</w:t>
            </w:r>
          </w:p>
        </w:tc>
        <w:tc>
          <w:tcPr>
            <w:tcW w:w="1980" w:type="dxa"/>
            <w:tcBorders>
              <w:top w:val="nil"/>
              <w:left w:val="nil"/>
              <w:bottom w:val="nil"/>
              <w:right w:val="nil"/>
            </w:tcBorders>
            <w:shd w:val="clear" w:color="auto" w:fill="auto"/>
            <w:tcMar>
              <w:top w:w="100" w:type="dxa"/>
              <w:left w:w="100" w:type="dxa"/>
              <w:bottom w:w="100" w:type="dxa"/>
              <w:right w:w="100" w:type="dxa"/>
            </w:tcMar>
          </w:tcPr>
          <w:p w14:paraId="4FF6DF00"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Disagree</w:t>
            </w:r>
          </w:p>
        </w:tc>
        <w:tc>
          <w:tcPr>
            <w:tcW w:w="1830" w:type="dxa"/>
            <w:tcBorders>
              <w:top w:val="nil"/>
              <w:left w:val="nil"/>
              <w:bottom w:val="nil"/>
              <w:right w:val="nil"/>
            </w:tcBorders>
            <w:shd w:val="clear" w:color="auto" w:fill="auto"/>
            <w:tcMar>
              <w:top w:w="100" w:type="dxa"/>
              <w:left w:w="100" w:type="dxa"/>
              <w:bottom w:w="100" w:type="dxa"/>
              <w:right w:w="100" w:type="dxa"/>
            </w:tcMar>
          </w:tcPr>
          <w:p w14:paraId="4CD5F604"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Neutral</w:t>
            </w:r>
          </w:p>
        </w:tc>
        <w:tc>
          <w:tcPr>
            <w:tcW w:w="1560" w:type="dxa"/>
            <w:tcBorders>
              <w:top w:val="nil"/>
              <w:left w:val="nil"/>
              <w:bottom w:val="nil"/>
              <w:right w:val="nil"/>
            </w:tcBorders>
            <w:shd w:val="clear" w:color="auto" w:fill="auto"/>
            <w:tcMar>
              <w:top w:w="100" w:type="dxa"/>
              <w:left w:w="100" w:type="dxa"/>
              <w:bottom w:w="100" w:type="dxa"/>
              <w:right w:w="100" w:type="dxa"/>
            </w:tcMar>
          </w:tcPr>
          <w:p w14:paraId="474BCA53"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Agree</w:t>
            </w:r>
          </w:p>
        </w:tc>
        <w:tc>
          <w:tcPr>
            <w:tcW w:w="2025" w:type="dxa"/>
            <w:tcBorders>
              <w:top w:val="nil"/>
              <w:left w:val="nil"/>
              <w:bottom w:val="nil"/>
              <w:right w:val="nil"/>
            </w:tcBorders>
            <w:shd w:val="clear" w:color="auto" w:fill="auto"/>
            <w:tcMar>
              <w:top w:w="100" w:type="dxa"/>
              <w:left w:w="100" w:type="dxa"/>
              <w:bottom w:w="100" w:type="dxa"/>
              <w:right w:w="100" w:type="dxa"/>
            </w:tcMar>
          </w:tcPr>
          <w:p w14:paraId="419DA7F2"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Strongly Agree</w:t>
            </w:r>
          </w:p>
          <w:p w14:paraId="5840C7ED" w14:textId="77777777" w:rsidR="00D401A7" w:rsidRDefault="00D401A7">
            <w:pPr>
              <w:widowControl w:val="0"/>
              <w:rPr>
                <w:rFonts w:ascii="Calibri" w:eastAsia="Calibri" w:hAnsi="Calibri" w:cs="Calibri"/>
                <w:sz w:val="24"/>
                <w:szCs w:val="24"/>
              </w:rPr>
            </w:pPr>
          </w:p>
        </w:tc>
      </w:tr>
      <w:tr w:rsidR="00D401A7" w14:paraId="0B137D25" w14:textId="77777777">
        <w:trPr>
          <w:trHeight w:val="540"/>
        </w:trPr>
        <w:tc>
          <w:tcPr>
            <w:tcW w:w="9705" w:type="dxa"/>
            <w:gridSpan w:val="5"/>
            <w:tcBorders>
              <w:top w:val="nil"/>
              <w:left w:val="nil"/>
              <w:bottom w:val="nil"/>
              <w:right w:val="nil"/>
            </w:tcBorders>
            <w:shd w:val="clear" w:color="auto" w:fill="auto"/>
            <w:tcMar>
              <w:top w:w="100" w:type="dxa"/>
              <w:left w:w="100" w:type="dxa"/>
              <w:bottom w:w="100" w:type="dxa"/>
              <w:right w:w="100" w:type="dxa"/>
            </w:tcMar>
          </w:tcPr>
          <w:p w14:paraId="44E11C9D" w14:textId="77777777" w:rsidR="00D401A7" w:rsidRDefault="00000000">
            <w:pPr>
              <w:widowControl w:val="0"/>
              <w:numPr>
                <w:ilvl w:val="0"/>
                <w:numId w:val="2"/>
              </w:numPr>
              <w:rPr>
                <w:rFonts w:ascii="Calibri" w:eastAsia="Calibri" w:hAnsi="Calibri" w:cs="Calibri"/>
                <w:b/>
                <w:sz w:val="24"/>
                <w:szCs w:val="24"/>
              </w:rPr>
            </w:pPr>
            <w:r>
              <w:rPr>
                <w:rFonts w:ascii="Calibri" w:eastAsia="Calibri" w:hAnsi="Calibri" w:cs="Calibri"/>
                <w:b/>
                <w:sz w:val="24"/>
                <w:szCs w:val="24"/>
              </w:rPr>
              <w:t>The learning module was engaging</w:t>
            </w:r>
          </w:p>
        </w:tc>
      </w:tr>
      <w:tr w:rsidR="00D401A7" w14:paraId="0EC0A257" w14:textId="77777777">
        <w:tc>
          <w:tcPr>
            <w:tcW w:w="2310" w:type="dxa"/>
            <w:tcBorders>
              <w:top w:val="nil"/>
              <w:left w:val="nil"/>
              <w:bottom w:val="nil"/>
              <w:right w:val="nil"/>
            </w:tcBorders>
            <w:shd w:val="clear" w:color="auto" w:fill="auto"/>
            <w:tcMar>
              <w:top w:w="100" w:type="dxa"/>
              <w:left w:w="100" w:type="dxa"/>
              <w:bottom w:w="100" w:type="dxa"/>
              <w:right w:w="100" w:type="dxa"/>
            </w:tcMar>
          </w:tcPr>
          <w:p w14:paraId="05B49A36" w14:textId="77777777" w:rsidR="00D401A7" w:rsidRDefault="00000000">
            <w:pPr>
              <w:widowControl w:val="0"/>
              <w:rPr>
                <w:rFonts w:ascii="Calibri" w:eastAsia="Calibri" w:hAnsi="Calibri" w:cs="Calibri"/>
                <w:sz w:val="30"/>
                <w:szCs w:val="30"/>
              </w:rPr>
            </w:pPr>
            <w:r>
              <w:rPr>
                <w:rFonts w:ascii="Calibri" w:eastAsia="Calibri" w:hAnsi="Calibri" w:cs="Calibri"/>
              </w:rPr>
              <w:t>Strongly Disagree</w:t>
            </w:r>
          </w:p>
        </w:tc>
        <w:tc>
          <w:tcPr>
            <w:tcW w:w="1980" w:type="dxa"/>
            <w:tcBorders>
              <w:top w:val="nil"/>
              <w:left w:val="nil"/>
              <w:bottom w:val="nil"/>
              <w:right w:val="nil"/>
            </w:tcBorders>
            <w:shd w:val="clear" w:color="auto" w:fill="auto"/>
            <w:tcMar>
              <w:top w:w="100" w:type="dxa"/>
              <w:left w:w="100" w:type="dxa"/>
              <w:bottom w:w="100" w:type="dxa"/>
              <w:right w:w="100" w:type="dxa"/>
            </w:tcMar>
          </w:tcPr>
          <w:p w14:paraId="7C8CABB5"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Disagree</w:t>
            </w:r>
          </w:p>
        </w:tc>
        <w:tc>
          <w:tcPr>
            <w:tcW w:w="1830" w:type="dxa"/>
            <w:tcBorders>
              <w:top w:val="nil"/>
              <w:left w:val="nil"/>
              <w:bottom w:val="nil"/>
              <w:right w:val="nil"/>
            </w:tcBorders>
            <w:shd w:val="clear" w:color="auto" w:fill="auto"/>
            <w:tcMar>
              <w:top w:w="100" w:type="dxa"/>
              <w:left w:w="100" w:type="dxa"/>
              <w:bottom w:w="100" w:type="dxa"/>
              <w:right w:w="100" w:type="dxa"/>
            </w:tcMar>
          </w:tcPr>
          <w:p w14:paraId="3BA43165"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Neutral</w:t>
            </w:r>
          </w:p>
        </w:tc>
        <w:tc>
          <w:tcPr>
            <w:tcW w:w="1560" w:type="dxa"/>
            <w:tcBorders>
              <w:top w:val="nil"/>
              <w:left w:val="nil"/>
              <w:bottom w:val="nil"/>
              <w:right w:val="nil"/>
            </w:tcBorders>
            <w:shd w:val="clear" w:color="auto" w:fill="auto"/>
            <w:tcMar>
              <w:top w:w="100" w:type="dxa"/>
              <w:left w:w="100" w:type="dxa"/>
              <w:bottom w:w="100" w:type="dxa"/>
              <w:right w:w="100" w:type="dxa"/>
            </w:tcMar>
          </w:tcPr>
          <w:p w14:paraId="2507C63C"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Agree</w:t>
            </w:r>
          </w:p>
        </w:tc>
        <w:tc>
          <w:tcPr>
            <w:tcW w:w="2025" w:type="dxa"/>
            <w:tcBorders>
              <w:top w:val="nil"/>
              <w:left w:val="nil"/>
              <w:bottom w:val="nil"/>
              <w:right w:val="nil"/>
            </w:tcBorders>
            <w:shd w:val="clear" w:color="auto" w:fill="auto"/>
            <w:tcMar>
              <w:top w:w="100" w:type="dxa"/>
              <w:left w:w="100" w:type="dxa"/>
              <w:bottom w:w="100" w:type="dxa"/>
              <w:right w:w="100" w:type="dxa"/>
            </w:tcMar>
          </w:tcPr>
          <w:p w14:paraId="364CBDC5"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Strongly Agree</w:t>
            </w:r>
          </w:p>
          <w:p w14:paraId="3918FD77" w14:textId="77777777" w:rsidR="00D401A7" w:rsidRDefault="00D401A7">
            <w:pPr>
              <w:widowControl w:val="0"/>
              <w:rPr>
                <w:rFonts w:ascii="Calibri" w:eastAsia="Calibri" w:hAnsi="Calibri" w:cs="Calibri"/>
                <w:sz w:val="24"/>
                <w:szCs w:val="24"/>
              </w:rPr>
            </w:pPr>
          </w:p>
        </w:tc>
      </w:tr>
      <w:tr w:rsidR="00D401A7" w14:paraId="6E6DE806" w14:textId="77777777">
        <w:trPr>
          <w:trHeight w:val="540"/>
        </w:trPr>
        <w:tc>
          <w:tcPr>
            <w:tcW w:w="9705" w:type="dxa"/>
            <w:gridSpan w:val="5"/>
            <w:tcBorders>
              <w:top w:val="nil"/>
              <w:left w:val="nil"/>
              <w:bottom w:val="nil"/>
              <w:right w:val="nil"/>
            </w:tcBorders>
            <w:shd w:val="clear" w:color="auto" w:fill="auto"/>
            <w:tcMar>
              <w:top w:w="100" w:type="dxa"/>
              <w:left w:w="100" w:type="dxa"/>
              <w:bottom w:w="100" w:type="dxa"/>
              <w:right w:w="100" w:type="dxa"/>
            </w:tcMar>
          </w:tcPr>
          <w:p w14:paraId="0F208A7F" w14:textId="77777777" w:rsidR="00D401A7" w:rsidRDefault="00000000">
            <w:pPr>
              <w:widowControl w:val="0"/>
              <w:numPr>
                <w:ilvl w:val="0"/>
                <w:numId w:val="2"/>
              </w:numPr>
              <w:rPr>
                <w:rFonts w:ascii="Calibri" w:eastAsia="Calibri" w:hAnsi="Calibri" w:cs="Calibri"/>
                <w:b/>
                <w:sz w:val="24"/>
                <w:szCs w:val="24"/>
              </w:rPr>
            </w:pPr>
            <w:r>
              <w:rPr>
                <w:rFonts w:ascii="Calibri" w:eastAsia="Calibri" w:hAnsi="Calibri" w:cs="Calibri"/>
                <w:b/>
                <w:sz w:val="24"/>
                <w:szCs w:val="24"/>
              </w:rPr>
              <w:t>The learning module helped me to learn how to perform a cricothyrotomy</w:t>
            </w:r>
          </w:p>
        </w:tc>
      </w:tr>
      <w:tr w:rsidR="00D401A7" w14:paraId="4DBFF581" w14:textId="77777777">
        <w:tc>
          <w:tcPr>
            <w:tcW w:w="2310" w:type="dxa"/>
            <w:tcBorders>
              <w:top w:val="nil"/>
              <w:left w:val="nil"/>
              <w:bottom w:val="nil"/>
              <w:right w:val="nil"/>
            </w:tcBorders>
            <w:shd w:val="clear" w:color="auto" w:fill="auto"/>
            <w:tcMar>
              <w:top w:w="100" w:type="dxa"/>
              <w:left w:w="100" w:type="dxa"/>
              <w:bottom w:w="100" w:type="dxa"/>
              <w:right w:w="100" w:type="dxa"/>
            </w:tcMar>
          </w:tcPr>
          <w:p w14:paraId="096B2FBC" w14:textId="77777777" w:rsidR="00D401A7" w:rsidRDefault="00000000">
            <w:pPr>
              <w:widowControl w:val="0"/>
              <w:rPr>
                <w:rFonts w:ascii="Calibri" w:eastAsia="Calibri" w:hAnsi="Calibri" w:cs="Calibri"/>
                <w:sz w:val="30"/>
                <w:szCs w:val="30"/>
              </w:rPr>
            </w:pPr>
            <w:r>
              <w:rPr>
                <w:rFonts w:ascii="Calibri" w:eastAsia="Calibri" w:hAnsi="Calibri" w:cs="Calibri"/>
              </w:rPr>
              <w:t>Strongly Disagree</w:t>
            </w:r>
          </w:p>
        </w:tc>
        <w:tc>
          <w:tcPr>
            <w:tcW w:w="1980" w:type="dxa"/>
            <w:tcBorders>
              <w:top w:val="nil"/>
              <w:left w:val="nil"/>
              <w:bottom w:val="nil"/>
              <w:right w:val="nil"/>
            </w:tcBorders>
            <w:shd w:val="clear" w:color="auto" w:fill="auto"/>
            <w:tcMar>
              <w:top w:w="100" w:type="dxa"/>
              <w:left w:w="100" w:type="dxa"/>
              <w:bottom w:w="100" w:type="dxa"/>
              <w:right w:w="100" w:type="dxa"/>
            </w:tcMar>
          </w:tcPr>
          <w:p w14:paraId="7012F505"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Disagree</w:t>
            </w:r>
          </w:p>
        </w:tc>
        <w:tc>
          <w:tcPr>
            <w:tcW w:w="1830" w:type="dxa"/>
            <w:tcBorders>
              <w:top w:val="nil"/>
              <w:left w:val="nil"/>
              <w:bottom w:val="nil"/>
              <w:right w:val="nil"/>
            </w:tcBorders>
            <w:shd w:val="clear" w:color="auto" w:fill="auto"/>
            <w:tcMar>
              <w:top w:w="100" w:type="dxa"/>
              <w:left w:w="100" w:type="dxa"/>
              <w:bottom w:w="100" w:type="dxa"/>
              <w:right w:w="100" w:type="dxa"/>
            </w:tcMar>
          </w:tcPr>
          <w:p w14:paraId="224EA3B9"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Neutral</w:t>
            </w:r>
          </w:p>
        </w:tc>
        <w:tc>
          <w:tcPr>
            <w:tcW w:w="1560" w:type="dxa"/>
            <w:tcBorders>
              <w:top w:val="nil"/>
              <w:left w:val="nil"/>
              <w:bottom w:val="nil"/>
              <w:right w:val="nil"/>
            </w:tcBorders>
            <w:shd w:val="clear" w:color="auto" w:fill="auto"/>
            <w:tcMar>
              <w:top w:w="100" w:type="dxa"/>
              <w:left w:w="100" w:type="dxa"/>
              <w:bottom w:w="100" w:type="dxa"/>
              <w:right w:w="100" w:type="dxa"/>
            </w:tcMar>
          </w:tcPr>
          <w:p w14:paraId="3DEBC10E"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Agree</w:t>
            </w:r>
          </w:p>
        </w:tc>
        <w:tc>
          <w:tcPr>
            <w:tcW w:w="2025" w:type="dxa"/>
            <w:tcBorders>
              <w:top w:val="nil"/>
              <w:left w:val="nil"/>
              <w:bottom w:val="nil"/>
              <w:right w:val="nil"/>
            </w:tcBorders>
            <w:shd w:val="clear" w:color="auto" w:fill="auto"/>
            <w:tcMar>
              <w:top w:w="100" w:type="dxa"/>
              <w:left w:w="100" w:type="dxa"/>
              <w:bottom w:w="100" w:type="dxa"/>
              <w:right w:w="100" w:type="dxa"/>
            </w:tcMar>
          </w:tcPr>
          <w:p w14:paraId="185A0F8E"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Strongly Agree</w:t>
            </w:r>
          </w:p>
          <w:p w14:paraId="5213696A" w14:textId="77777777" w:rsidR="00D401A7" w:rsidRDefault="00D401A7">
            <w:pPr>
              <w:widowControl w:val="0"/>
              <w:rPr>
                <w:rFonts w:ascii="Calibri" w:eastAsia="Calibri" w:hAnsi="Calibri" w:cs="Calibri"/>
                <w:sz w:val="24"/>
                <w:szCs w:val="24"/>
              </w:rPr>
            </w:pPr>
          </w:p>
        </w:tc>
      </w:tr>
      <w:tr w:rsidR="00D401A7" w14:paraId="493F7557" w14:textId="77777777">
        <w:trPr>
          <w:trHeight w:val="540"/>
        </w:trPr>
        <w:tc>
          <w:tcPr>
            <w:tcW w:w="9705" w:type="dxa"/>
            <w:gridSpan w:val="5"/>
            <w:tcBorders>
              <w:top w:val="nil"/>
              <w:left w:val="nil"/>
              <w:bottom w:val="nil"/>
              <w:right w:val="nil"/>
            </w:tcBorders>
            <w:shd w:val="clear" w:color="auto" w:fill="auto"/>
            <w:tcMar>
              <w:top w:w="100" w:type="dxa"/>
              <w:left w:w="100" w:type="dxa"/>
              <w:bottom w:w="100" w:type="dxa"/>
              <w:right w:w="100" w:type="dxa"/>
            </w:tcMar>
          </w:tcPr>
          <w:p w14:paraId="583A2237" w14:textId="77777777" w:rsidR="00D401A7" w:rsidRDefault="00000000">
            <w:pPr>
              <w:widowControl w:val="0"/>
              <w:numPr>
                <w:ilvl w:val="0"/>
                <w:numId w:val="2"/>
              </w:numPr>
              <w:rPr>
                <w:rFonts w:ascii="Calibri" w:eastAsia="Calibri" w:hAnsi="Calibri" w:cs="Calibri"/>
                <w:b/>
                <w:sz w:val="24"/>
                <w:szCs w:val="24"/>
              </w:rPr>
            </w:pPr>
            <w:r>
              <w:rPr>
                <w:rFonts w:ascii="Calibri" w:eastAsia="Calibri" w:hAnsi="Calibri" w:cs="Calibri"/>
                <w:b/>
                <w:sz w:val="24"/>
                <w:szCs w:val="24"/>
              </w:rPr>
              <w:t>Seeing the anatomy and animations was helpful</w:t>
            </w:r>
          </w:p>
        </w:tc>
      </w:tr>
      <w:tr w:rsidR="00D401A7" w14:paraId="467720F6" w14:textId="77777777">
        <w:tc>
          <w:tcPr>
            <w:tcW w:w="2310" w:type="dxa"/>
            <w:tcBorders>
              <w:top w:val="nil"/>
              <w:left w:val="nil"/>
              <w:bottom w:val="nil"/>
              <w:right w:val="nil"/>
            </w:tcBorders>
            <w:shd w:val="clear" w:color="auto" w:fill="auto"/>
            <w:tcMar>
              <w:top w:w="100" w:type="dxa"/>
              <w:left w:w="100" w:type="dxa"/>
              <w:bottom w:w="100" w:type="dxa"/>
              <w:right w:w="100" w:type="dxa"/>
            </w:tcMar>
          </w:tcPr>
          <w:p w14:paraId="228570E2" w14:textId="77777777" w:rsidR="00D401A7" w:rsidRDefault="00000000">
            <w:pPr>
              <w:widowControl w:val="0"/>
              <w:rPr>
                <w:rFonts w:ascii="Calibri" w:eastAsia="Calibri" w:hAnsi="Calibri" w:cs="Calibri"/>
                <w:sz w:val="30"/>
                <w:szCs w:val="30"/>
              </w:rPr>
            </w:pPr>
            <w:r>
              <w:rPr>
                <w:rFonts w:ascii="Calibri" w:eastAsia="Calibri" w:hAnsi="Calibri" w:cs="Calibri"/>
              </w:rPr>
              <w:t>Strongly Disagree</w:t>
            </w:r>
          </w:p>
        </w:tc>
        <w:tc>
          <w:tcPr>
            <w:tcW w:w="1980" w:type="dxa"/>
            <w:tcBorders>
              <w:top w:val="nil"/>
              <w:left w:val="nil"/>
              <w:bottom w:val="nil"/>
              <w:right w:val="nil"/>
            </w:tcBorders>
            <w:shd w:val="clear" w:color="auto" w:fill="auto"/>
            <w:tcMar>
              <w:top w:w="100" w:type="dxa"/>
              <w:left w:w="100" w:type="dxa"/>
              <w:bottom w:w="100" w:type="dxa"/>
              <w:right w:w="100" w:type="dxa"/>
            </w:tcMar>
          </w:tcPr>
          <w:p w14:paraId="7448659D"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Disagree</w:t>
            </w:r>
          </w:p>
        </w:tc>
        <w:tc>
          <w:tcPr>
            <w:tcW w:w="1830" w:type="dxa"/>
            <w:tcBorders>
              <w:top w:val="nil"/>
              <w:left w:val="nil"/>
              <w:bottom w:val="nil"/>
              <w:right w:val="nil"/>
            </w:tcBorders>
            <w:shd w:val="clear" w:color="auto" w:fill="auto"/>
            <w:tcMar>
              <w:top w:w="100" w:type="dxa"/>
              <w:left w:w="100" w:type="dxa"/>
              <w:bottom w:w="100" w:type="dxa"/>
              <w:right w:w="100" w:type="dxa"/>
            </w:tcMar>
          </w:tcPr>
          <w:p w14:paraId="186F3E3C"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Neutral</w:t>
            </w:r>
          </w:p>
        </w:tc>
        <w:tc>
          <w:tcPr>
            <w:tcW w:w="1560" w:type="dxa"/>
            <w:tcBorders>
              <w:top w:val="nil"/>
              <w:left w:val="nil"/>
              <w:bottom w:val="nil"/>
              <w:right w:val="nil"/>
            </w:tcBorders>
            <w:shd w:val="clear" w:color="auto" w:fill="auto"/>
            <w:tcMar>
              <w:top w:w="100" w:type="dxa"/>
              <w:left w:w="100" w:type="dxa"/>
              <w:bottom w:w="100" w:type="dxa"/>
              <w:right w:w="100" w:type="dxa"/>
            </w:tcMar>
          </w:tcPr>
          <w:p w14:paraId="7EB3438F"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Agree</w:t>
            </w:r>
          </w:p>
        </w:tc>
        <w:tc>
          <w:tcPr>
            <w:tcW w:w="2025" w:type="dxa"/>
            <w:tcBorders>
              <w:top w:val="nil"/>
              <w:left w:val="nil"/>
              <w:bottom w:val="nil"/>
              <w:right w:val="nil"/>
            </w:tcBorders>
            <w:shd w:val="clear" w:color="auto" w:fill="auto"/>
            <w:tcMar>
              <w:top w:w="100" w:type="dxa"/>
              <w:left w:w="100" w:type="dxa"/>
              <w:bottom w:w="100" w:type="dxa"/>
              <w:right w:w="100" w:type="dxa"/>
            </w:tcMar>
          </w:tcPr>
          <w:p w14:paraId="3E33B4E4"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Strongly Agree</w:t>
            </w:r>
          </w:p>
          <w:p w14:paraId="60AF770D" w14:textId="77777777" w:rsidR="00D401A7" w:rsidRDefault="00D401A7">
            <w:pPr>
              <w:widowControl w:val="0"/>
              <w:rPr>
                <w:rFonts w:ascii="Calibri" w:eastAsia="Calibri" w:hAnsi="Calibri" w:cs="Calibri"/>
                <w:sz w:val="24"/>
                <w:szCs w:val="24"/>
              </w:rPr>
            </w:pPr>
          </w:p>
        </w:tc>
      </w:tr>
      <w:tr w:rsidR="00D401A7" w14:paraId="058D05E0" w14:textId="77777777">
        <w:trPr>
          <w:trHeight w:val="540"/>
        </w:trPr>
        <w:tc>
          <w:tcPr>
            <w:tcW w:w="9705" w:type="dxa"/>
            <w:gridSpan w:val="5"/>
            <w:tcBorders>
              <w:top w:val="nil"/>
              <w:left w:val="nil"/>
              <w:bottom w:val="nil"/>
              <w:right w:val="nil"/>
            </w:tcBorders>
            <w:shd w:val="clear" w:color="auto" w:fill="auto"/>
            <w:tcMar>
              <w:top w:w="100" w:type="dxa"/>
              <w:left w:w="100" w:type="dxa"/>
              <w:bottom w:w="100" w:type="dxa"/>
              <w:right w:w="100" w:type="dxa"/>
            </w:tcMar>
          </w:tcPr>
          <w:p w14:paraId="63386524" w14:textId="77777777" w:rsidR="00D401A7" w:rsidRDefault="00000000">
            <w:pPr>
              <w:widowControl w:val="0"/>
              <w:numPr>
                <w:ilvl w:val="0"/>
                <w:numId w:val="2"/>
              </w:numPr>
              <w:rPr>
                <w:rFonts w:ascii="Calibri" w:eastAsia="Calibri" w:hAnsi="Calibri" w:cs="Calibri"/>
                <w:b/>
                <w:sz w:val="24"/>
                <w:szCs w:val="24"/>
              </w:rPr>
            </w:pPr>
            <w:r>
              <w:rPr>
                <w:rFonts w:ascii="Calibri" w:eastAsia="Calibri" w:hAnsi="Calibri" w:cs="Calibri"/>
                <w:b/>
                <w:sz w:val="24"/>
                <w:szCs w:val="24"/>
              </w:rPr>
              <w:t>I would want to use something like this learning module again</w:t>
            </w:r>
          </w:p>
        </w:tc>
      </w:tr>
      <w:tr w:rsidR="00D401A7" w14:paraId="4DFD2B06" w14:textId="77777777">
        <w:tc>
          <w:tcPr>
            <w:tcW w:w="2310" w:type="dxa"/>
            <w:tcBorders>
              <w:top w:val="nil"/>
              <w:left w:val="nil"/>
              <w:bottom w:val="nil"/>
              <w:right w:val="nil"/>
            </w:tcBorders>
            <w:shd w:val="clear" w:color="auto" w:fill="auto"/>
            <w:tcMar>
              <w:top w:w="100" w:type="dxa"/>
              <w:left w:w="100" w:type="dxa"/>
              <w:bottom w:w="100" w:type="dxa"/>
              <w:right w:w="100" w:type="dxa"/>
            </w:tcMar>
          </w:tcPr>
          <w:p w14:paraId="0E271627" w14:textId="77777777" w:rsidR="00D401A7" w:rsidRDefault="00000000">
            <w:pPr>
              <w:widowControl w:val="0"/>
              <w:rPr>
                <w:rFonts w:ascii="Calibri" w:eastAsia="Calibri" w:hAnsi="Calibri" w:cs="Calibri"/>
                <w:sz w:val="30"/>
                <w:szCs w:val="30"/>
              </w:rPr>
            </w:pPr>
            <w:r>
              <w:rPr>
                <w:rFonts w:ascii="Calibri" w:eastAsia="Calibri" w:hAnsi="Calibri" w:cs="Calibri"/>
              </w:rPr>
              <w:t>Strongly Disagree</w:t>
            </w:r>
          </w:p>
        </w:tc>
        <w:tc>
          <w:tcPr>
            <w:tcW w:w="1980" w:type="dxa"/>
            <w:tcBorders>
              <w:top w:val="nil"/>
              <w:left w:val="nil"/>
              <w:bottom w:val="nil"/>
              <w:right w:val="nil"/>
            </w:tcBorders>
            <w:shd w:val="clear" w:color="auto" w:fill="auto"/>
            <w:tcMar>
              <w:top w:w="100" w:type="dxa"/>
              <w:left w:w="100" w:type="dxa"/>
              <w:bottom w:w="100" w:type="dxa"/>
              <w:right w:w="100" w:type="dxa"/>
            </w:tcMar>
          </w:tcPr>
          <w:p w14:paraId="0C899D5A"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Disagree</w:t>
            </w:r>
          </w:p>
        </w:tc>
        <w:tc>
          <w:tcPr>
            <w:tcW w:w="1830" w:type="dxa"/>
            <w:tcBorders>
              <w:top w:val="nil"/>
              <w:left w:val="nil"/>
              <w:bottom w:val="nil"/>
              <w:right w:val="nil"/>
            </w:tcBorders>
            <w:shd w:val="clear" w:color="auto" w:fill="auto"/>
            <w:tcMar>
              <w:top w:w="100" w:type="dxa"/>
              <w:left w:w="100" w:type="dxa"/>
              <w:bottom w:w="100" w:type="dxa"/>
              <w:right w:w="100" w:type="dxa"/>
            </w:tcMar>
          </w:tcPr>
          <w:p w14:paraId="16664E9A"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Neutral</w:t>
            </w:r>
          </w:p>
        </w:tc>
        <w:tc>
          <w:tcPr>
            <w:tcW w:w="1560" w:type="dxa"/>
            <w:tcBorders>
              <w:top w:val="nil"/>
              <w:left w:val="nil"/>
              <w:bottom w:val="nil"/>
              <w:right w:val="nil"/>
            </w:tcBorders>
            <w:shd w:val="clear" w:color="auto" w:fill="auto"/>
            <w:tcMar>
              <w:top w:w="100" w:type="dxa"/>
              <w:left w:w="100" w:type="dxa"/>
              <w:bottom w:w="100" w:type="dxa"/>
              <w:right w:w="100" w:type="dxa"/>
            </w:tcMar>
          </w:tcPr>
          <w:p w14:paraId="6DE239AB" w14:textId="77777777" w:rsidR="00D401A7" w:rsidRDefault="00000000">
            <w:pPr>
              <w:widowControl w:val="0"/>
              <w:rPr>
                <w:rFonts w:ascii="Calibri" w:eastAsia="Calibri" w:hAnsi="Calibri" w:cs="Calibri"/>
                <w:sz w:val="30"/>
                <w:szCs w:val="30"/>
              </w:rPr>
            </w:pPr>
            <w:r>
              <w:rPr>
                <w:rFonts w:ascii="Calibri" w:eastAsia="Calibri" w:hAnsi="Calibri" w:cs="Calibri"/>
                <w:sz w:val="24"/>
                <w:szCs w:val="24"/>
              </w:rPr>
              <w:t>Agree</w:t>
            </w:r>
          </w:p>
        </w:tc>
        <w:tc>
          <w:tcPr>
            <w:tcW w:w="2025" w:type="dxa"/>
            <w:tcBorders>
              <w:top w:val="nil"/>
              <w:left w:val="nil"/>
              <w:bottom w:val="nil"/>
              <w:right w:val="nil"/>
            </w:tcBorders>
            <w:shd w:val="clear" w:color="auto" w:fill="auto"/>
            <w:tcMar>
              <w:top w:w="100" w:type="dxa"/>
              <w:left w:w="100" w:type="dxa"/>
              <w:bottom w:w="100" w:type="dxa"/>
              <w:right w:w="100" w:type="dxa"/>
            </w:tcMar>
          </w:tcPr>
          <w:p w14:paraId="1ACB3927" w14:textId="77777777" w:rsidR="00D401A7" w:rsidRDefault="00000000">
            <w:pPr>
              <w:widowControl w:val="0"/>
              <w:rPr>
                <w:rFonts w:ascii="Calibri" w:eastAsia="Calibri" w:hAnsi="Calibri" w:cs="Calibri"/>
                <w:sz w:val="24"/>
                <w:szCs w:val="24"/>
              </w:rPr>
            </w:pPr>
            <w:r>
              <w:rPr>
                <w:rFonts w:ascii="Calibri" w:eastAsia="Calibri" w:hAnsi="Calibri" w:cs="Calibri"/>
                <w:sz w:val="24"/>
                <w:szCs w:val="24"/>
              </w:rPr>
              <w:t>Strongly Agree</w:t>
            </w:r>
          </w:p>
          <w:p w14:paraId="015C5388" w14:textId="77777777" w:rsidR="00D401A7" w:rsidRDefault="00D401A7">
            <w:pPr>
              <w:widowControl w:val="0"/>
              <w:rPr>
                <w:rFonts w:ascii="Calibri" w:eastAsia="Calibri" w:hAnsi="Calibri" w:cs="Calibri"/>
                <w:sz w:val="24"/>
                <w:szCs w:val="24"/>
              </w:rPr>
            </w:pPr>
          </w:p>
        </w:tc>
      </w:tr>
    </w:tbl>
    <w:p w14:paraId="04685BE0" w14:textId="77777777" w:rsidR="00D401A7" w:rsidRDefault="00000000">
      <w:pPr>
        <w:numPr>
          <w:ilvl w:val="0"/>
          <w:numId w:val="2"/>
        </w:numPr>
        <w:spacing w:after="160" w:line="360" w:lineRule="auto"/>
        <w:rPr>
          <w:rFonts w:ascii="Calibri" w:eastAsia="Calibri" w:hAnsi="Calibri" w:cs="Calibri"/>
          <w:b/>
          <w:sz w:val="24"/>
          <w:szCs w:val="24"/>
        </w:rPr>
      </w:pPr>
      <w:r>
        <w:rPr>
          <w:rFonts w:ascii="Calibri" w:eastAsia="Calibri" w:hAnsi="Calibri" w:cs="Calibri"/>
          <w:b/>
          <w:sz w:val="24"/>
          <w:szCs w:val="24"/>
        </w:rPr>
        <w:t>What did you like best about the learning module?</w:t>
      </w:r>
    </w:p>
    <w:p w14:paraId="32996563" w14:textId="77777777" w:rsidR="00D401A7" w:rsidRDefault="00D401A7">
      <w:pPr>
        <w:spacing w:after="160" w:line="360" w:lineRule="auto"/>
        <w:rPr>
          <w:rFonts w:ascii="Calibri" w:eastAsia="Calibri" w:hAnsi="Calibri" w:cs="Calibri"/>
          <w:b/>
          <w:sz w:val="24"/>
          <w:szCs w:val="24"/>
        </w:rPr>
      </w:pPr>
    </w:p>
    <w:p w14:paraId="41D3459B" w14:textId="77777777" w:rsidR="00D401A7" w:rsidRDefault="00000000">
      <w:pPr>
        <w:numPr>
          <w:ilvl w:val="0"/>
          <w:numId w:val="2"/>
        </w:numPr>
        <w:spacing w:after="160" w:line="360" w:lineRule="auto"/>
        <w:rPr>
          <w:rFonts w:ascii="Calibri" w:eastAsia="Calibri" w:hAnsi="Calibri" w:cs="Calibri"/>
          <w:b/>
          <w:sz w:val="24"/>
          <w:szCs w:val="24"/>
        </w:rPr>
      </w:pPr>
      <w:r>
        <w:rPr>
          <w:rFonts w:ascii="Calibri" w:eastAsia="Calibri" w:hAnsi="Calibri" w:cs="Calibri"/>
          <w:b/>
          <w:sz w:val="24"/>
          <w:szCs w:val="24"/>
        </w:rPr>
        <w:t>What would you change about the learning module?</w:t>
      </w:r>
    </w:p>
    <w:p w14:paraId="61221F74" w14:textId="77777777" w:rsidR="00D401A7" w:rsidRDefault="00D401A7">
      <w:pPr>
        <w:spacing w:after="160" w:line="360" w:lineRule="auto"/>
        <w:rPr>
          <w:rFonts w:ascii="Calibri" w:eastAsia="Calibri" w:hAnsi="Calibri" w:cs="Calibri"/>
          <w:b/>
          <w:sz w:val="24"/>
          <w:szCs w:val="24"/>
        </w:rPr>
      </w:pPr>
    </w:p>
    <w:p w14:paraId="751D7E4D" w14:textId="77777777" w:rsidR="00D401A7" w:rsidRDefault="00000000">
      <w:pPr>
        <w:numPr>
          <w:ilvl w:val="0"/>
          <w:numId w:val="2"/>
        </w:numPr>
        <w:spacing w:after="160" w:line="360" w:lineRule="auto"/>
        <w:rPr>
          <w:rFonts w:ascii="Calibri" w:eastAsia="Calibri" w:hAnsi="Calibri" w:cs="Calibri"/>
          <w:b/>
          <w:sz w:val="24"/>
          <w:szCs w:val="24"/>
        </w:rPr>
      </w:pPr>
      <w:r>
        <w:rPr>
          <w:rFonts w:ascii="Calibri" w:eastAsia="Calibri" w:hAnsi="Calibri" w:cs="Calibri"/>
          <w:b/>
          <w:sz w:val="24"/>
          <w:szCs w:val="24"/>
        </w:rPr>
        <w:t>Any other comments you would like to share?</w:t>
      </w:r>
    </w:p>
    <w:p w14:paraId="07835606" w14:textId="77777777" w:rsidR="00D401A7" w:rsidRDefault="00D401A7">
      <w:pPr>
        <w:spacing w:after="160" w:line="360" w:lineRule="auto"/>
        <w:rPr>
          <w:rFonts w:ascii="Calibri" w:eastAsia="Calibri" w:hAnsi="Calibri" w:cs="Calibri"/>
          <w:sz w:val="24"/>
          <w:szCs w:val="24"/>
        </w:rPr>
      </w:pPr>
    </w:p>
    <w:p w14:paraId="5487D602" w14:textId="77777777" w:rsidR="00D401A7" w:rsidRDefault="00000000">
      <w:pPr>
        <w:spacing w:after="160" w:line="360" w:lineRule="auto"/>
        <w:jc w:val="center"/>
        <w:rPr>
          <w:rFonts w:ascii="Calibri" w:eastAsia="Calibri" w:hAnsi="Calibri" w:cs="Calibri"/>
          <w:b/>
          <w:sz w:val="24"/>
          <w:szCs w:val="24"/>
        </w:rPr>
      </w:pPr>
      <w:r>
        <w:rPr>
          <w:rFonts w:ascii="Calibri" w:eastAsia="Calibri" w:hAnsi="Calibri" w:cs="Calibri"/>
          <w:sz w:val="24"/>
          <w:szCs w:val="24"/>
        </w:rPr>
        <w:lastRenderedPageBreak/>
        <w:t xml:space="preserve">Assessment completed. Please be sure this packet is returned to presenters. We hope you enjoyed the fall MANA cricothyrotomy workshop presented by Brendan </w:t>
      </w:r>
      <w:proofErr w:type="spellStart"/>
      <w:r>
        <w:rPr>
          <w:rFonts w:ascii="Calibri" w:eastAsia="Calibri" w:hAnsi="Calibri" w:cs="Calibri"/>
          <w:sz w:val="24"/>
          <w:szCs w:val="24"/>
        </w:rPr>
        <w:t>Pytlak</w:t>
      </w:r>
      <w:proofErr w:type="spellEnd"/>
      <w:r>
        <w:rPr>
          <w:rFonts w:ascii="Calibri" w:eastAsia="Calibri" w:hAnsi="Calibri" w:cs="Calibri"/>
          <w:sz w:val="24"/>
          <w:szCs w:val="24"/>
        </w:rPr>
        <w:t xml:space="preserve"> and Zach </w:t>
      </w:r>
      <w:proofErr w:type="spellStart"/>
      <w:r>
        <w:rPr>
          <w:rFonts w:ascii="Calibri" w:eastAsia="Calibri" w:hAnsi="Calibri" w:cs="Calibri"/>
          <w:sz w:val="24"/>
          <w:szCs w:val="24"/>
        </w:rPr>
        <w:t>Frenette</w:t>
      </w:r>
      <w:proofErr w:type="spellEnd"/>
      <w:r>
        <w:rPr>
          <w:rFonts w:ascii="Calibri" w:eastAsia="Calibri" w:hAnsi="Calibri" w:cs="Calibri"/>
          <w:sz w:val="24"/>
          <w:szCs w:val="24"/>
        </w:rPr>
        <w:t xml:space="preserve"> on behalf of Oakland University-Beaumont Graduate Nurse Anesthesia Program.</w:t>
      </w:r>
      <w:bookmarkStart w:id="3" w:name="bookmark=kix.qkfx2jmibszf" w:colFirst="0" w:colLast="0"/>
      <w:bookmarkEnd w:id="3"/>
    </w:p>
    <w:p w14:paraId="7A29DC8C" w14:textId="77777777" w:rsidR="00D401A7" w:rsidRDefault="00D401A7">
      <w:pPr>
        <w:spacing w:after="160" w:line="480" w:lineRule="auto"/>
        <w:jc w:val="center"/>
        <w:rPr>
          <w:rFonts w:ascii="Times New Roman" w:eastAsia="Times New Roman" w:hAnsi="Times New Roman" w:cs="Times New Roman"/>
          <w:b/>
          <w:sz w:val="24"/>
          <w:szCs w:val="24"/>
        </w:rPr>
      </w:pPr>
    </w:p>
    <w:p w14:paraId="32FECE30" w14:textId="77777777" w:rsidR="00D401A7" w:rsidRDefault="00000000">
      <w:pPr>
        <w:spacing w:after="16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Appendix F: </w:t>
      </w:r>
      <w:r>
        <w:rPr>
          <w:rFonts w:ascii="Times New Roman" w:eastAsia="Times New Roman" w:hAnsi="Times New Roman" w:cs="Times New Roman"/>
          <w:sz w:val="24"/>
          <w:szCs w:val="24"/>
        </w:rPr>
        <w:t>Cricothyrotomy Skill Check-off Sheet</w:t>
      </w:r>
    </w:p>
    <w:p w14:paraId="7438CD7E" w14:textId="77777777" w:rsidR="00D401A7" w:rsidRDefault="00000000">
      <w:pPr>
        <w:spacing w:after="16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Ordering: 1   2   3   4    5   6    7    8</w:t>
      </w:r>
    </w:p>
    <w:p w14:paraId="4230549B" w14:textId="77777777" w:rsidR="00D401A7" w:rsidRDefault="00000000">
      <w:pPr>
        <w:spacing w:after="16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SCORING FOR CRICOTHYROIDOTOMY PERFORMANCE: </w:t>
      </w:r>
      <w:r>
        <w:rPr>
          <w:rFonts w:ascii="Times New Roman" w:eastAsia="Times New Roman" w:hAnsi="Times New Roman" w:cs="Times New Roman"/>
          <w:b/>
          <w:sz w:val="24"/>
          <w:szCs w:val="24"/>
          <w:shd w:val="clear" w:color="auto" w:fill="FF9900"/>
        </w:rPr>
        <w:t>PASS/FAIL VERSION</w:t>
      </w:r>
    </w:p>
    <w:tbl>
      <w:tblPr>
        <w:tblStyle w:val="affffb"/>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3195"/>
        <w:gridCol w:w="3075"/>
        <w:gridCol w:w="1800"/>
      </w:tblGrid>
      <w:tr w:rsidR="00D401A7" w14:paraId="7A293E23" w14:textId="77777777">
        <w:trPr>
          <w:trHeight w:val="341"/>
        </w:trPr>
        <w:tc>
          <w:tcPr>
            <w:tcW w:w="1875" w:type="dxa"/>
            <w:shd w:val="clear" w:color="auto" w:fill="9FC5E8"/>
          </w:tcPr>
          <w:p w14:paraId="532AA5A2" w14:textId="77777777" w:rsidR="00D401A7" w:rsidRDefault="00000000">
            <w:pPr>
              <w:rPr>
                <w:rFonts w:ascii="Calibri" w:eastAsia="Calibri" w:hAnsi="Calibri" w:cs="Calibri"/>
                <w:b/>
                <w:i/>
                <w:sz w:val="24"/>
                <w:szCs w:val="24"/>
              </w:rPr>
            </w:pPr>
            <w:r>
              <w:rPr>
                <w:rFonts w:ascii="Calibri" w:eastAsia="Calibri" w:hAnsi="Calibri" w:cs="Calibri"/>
                <w:b/>
                <w:i/>
                <w:sz w:val="24"/>
                <w:szCs w:val="24"/>
              </w:rPr>
              <w:t>TASK</w:t>
            </w:r>
          </w:p>
        </w:tc>
        <w:tc>
          <w:tcPr>
            <w:tcW w:w="3195" w:type="dxa"/>
            <w:shd w:val="clear" w:color="auto" w:fill="9FC5E8"/>
          </w:tcPr>
          <w:p w14:paraId="26212433" w14:textId="77777777" w:rsidR="00D401A7" w:rsidRDefault="00000000">
            <w:pPr>
              <w:rPr>
                <w:rFonts w:ascii="Calibri" w:eastAsia="Calibri" w:hAnsi="Calibri" w:cs="Calibri"/>
                <w:b/>
                <w:i/>
                <w:sz w:val="24"/>
                <w:szCs w:val="24"/>
              </w:rPr>
            </w:pPr>
            <w:r>
              <w:rPr>
                <w:rFonts w:ascii="Calibri" w:eastAsia="Calibri" w:hAnsi="Calibri" w:cs="Calibri"/>
                <w:b/>
                <w:i/>
                <w:sz w:val="24"/>
                <w:szCs w:val="24"/>
              </w:rPr>
              <w:t>SCORE 0</w:t>
            </w:r>
          </w:p>
        </w:tc>
        <w:tc>
          <w:tcPr>
            <w:tcW w:w="3075" w:type="dxa"/>
            <w:shd w:val="clear" w:color="auto" w:fill="9FC5E8"/>
          </w:tcPr>
          <w:p w14:paraId="60768507" w14:textId="77777777" w:rsidR="00D401A7" w:rsidRDefault="00000000">
            <w:pPr>
              <w:rPr>
                <w:rFonts w:ascii="Calibri" w:eastAsia="Calibri" w:hAnsi="Calibri" w:cs="Calibri"/>
                <w:b/>
                <w:i/>
                <w:sz w:val="24"/>
                <w:szCs w:val="24"/>
              </w:rPr>
            </w:pPr>
            <w:r>
              <w:rPr>
                <w:rFonts w:ascii="Calibri" w:eastAsia="Calibri" w:hAnsi="Calibri" w:cs="Calibri"/>
                <w:b/>
                <w:i/>
                <w:sz w:val="24"/>
                <w:szCs w:val="24"/>
              </w:rPr>
              <w:t>SCORE 1</w:t>
            </w:r>
          </w:p>
        </w:tc>
        <w:tc>
          <w:tcPr>
            <w:tcW w:w="1800" w:type="dxa"/>
            <w:shd w:val="clear" w:color="auto" w:fill="9FC5E8"/>
          </w:tcPr>
          <w:p w14:paraId="3DDA48D7" w14:textId="77777777" w:rsidR="00D401A7" w:rsidRDefault="00000000">
            <w:pPr>
              <w:rPr>
                <w:rFonts w:ascii="Calibri" w:eastAsia="Calibri" w:hAnsi="Calibri" w:cs="Calibri"/>
                <w:b/>
                <w:i/>
                <w:sz w:val="24"/>
                <w:szCs w:val="24"/>
              </w:rPr>
            </w:pPr>
            <w:r>
              <w:rPr>
                <w:rFonts w:ascii="Calibri" w:eastAsia="Calibri" w:hAnsi="Calibri" w:cs="Calibri"/>
                <w:b/>
                <w:i/>
                <w:sz w:val="24"/>
                <w:szCs w:val="24"/>
              </w:rPr>
              <w:t>TOTAL SCORE</w:t>
            </w:r>
          </w:p>
        </w:tc>
      </w:tr>
      <w:tr w:rsidR="00D401A7" w14:paraId="6D879535" w14:textId="77777777">
        <w:trPr>
          <w:trHeight w:val="1402"/>
        </w:trPr>
        <w:tc>
          <w:tcPr>
            <w:tcW w:w="1875" w:type="dxa"/>
          </w:tcPr>
          <w:p w14:paraId="1B41C359" w14:textId="77777777" w:rsidR="00D401A7" w:rsidRDefault="00000000">
            <w:pPr>
              <w:rPr>
                <w:rFonts w:ascii="Calibri" w:eastAsia="Calibri" w:hAnsi="Calibri" w:cs="Calibri"/>
                <w:sz w:val="20"/>
                <w:szCs w:val="20"/>
              </w:rPr>
            </w:pPr>
            <w:r>
              <w:rPr>
                <w:rFonts w:ascii="Calibri" w:eastAsia="Calibri" w:hAnsi="Calibri" w:cs="Calibri"/>
                <w:sz w:val="20"/>
                <w:szCs w:val="20"/>
              </w:rPr>
              <w:t>LANDMARK IDENTIFICATION</w:t>
            </w:r>
          </w:p>
        </w:tc>
        <w:tc>
          <w:tcPr>
            <w:tcW w:w="3195" w:type="dxa"/>
          </w:tcPr>
          <w:p w14:paraId="44EFDFE9" w14:textId="77777777" w:rsidR="00D401A7" w:rsidRDefault="00000000">
            <w:pPr>
              <w:rPr>
                <w:rFonts w:ascii="Calibri" w:eastAsia="Calibri" w:hAnsi="Calibri" w:cs="Calibri"/>
                <w:sz w:val="20"/>
                <w:szCs w:val="20"/>
              </w:rPr>
            </w:pPr>
            <w:r>
              <w:rPr>
                <w:rFonts w:ascii="Calibri" w:eastAsia="Calibri" w:hAnsi="Calibri" w:cs="Calibri"/>
                <w:sz w:val="20"/>
                <w:szCs w:val="20"/>
              </w:rPr>
              <w:t>UTILIZES DOMINANT HAND FOR PALPATION; UNABLE TO LOCATE CRICOTHYROID MEMBRANE</w:t>
            </w:r>
          </w:p>
        </w:tc>
        <w:tc>
          <w:tcPr>
            <w:tcW w:w="3075" w:type="dxa"/>
          </w:tcPr>
          <w:p w14:paraId="416DB86C" w14:textId="77777777" w:rsidR="00D401A7" w:rsidRDefault="00000000">
            <w:pPr>
              <w:rPr>
                <w:rFonts w:ascii="Calibri" w:eastAsia="Calibri" w:hAnsi="Calibri" w:cs="Calibri"/>
                <w:sz w:val="20"/>
                <w:szCs w:val="20"/>
              </w:rPr>
            </w:pPr>
            <w:r>
              <w:rPr>
                <w:rFonts w:ascii="Calibri" w:eastAsia="Calibri" w:hAnsi="Calibri" w:cs="Calibri"/>
                <w:sz w:val="20"/>
                <w:szCs w:val="20"/>
              </w:rPr>
              <w:t>LARYNX IMMOBILIZED AND STRUCTURE PALPATION FOR CTM USING NONDOMINANT HAND LEADS TO SUCCESSFUL IDENTIFICATION OF CTM</w:t>
            </w:r>
          </w:p>
        </w:tc>
        <w:tc>
          <w:tcPr>
            <w:tcW w:w="1800" w:type="dxa"/>
          </w:tcPr>
          <w:p w14:paraId="2948EBB7" w14:textId="77777777" w:rsidR="00D401A7" w:rsidRDefault="00D401A7">
            <w:pPr>
              <w:rPr>
                <w:rFonts w:ascii="Calibri" w:eastAsia="Calibri" w:hAnsi="Calibri" w:cs="Calibri"/>
                <w:sz w:val="16"/>
                <w:szCs w:val="16"/>
              </w:rPr>
            </w:pPr>
          </w:p>
        </w:tc>
      </w:tr>
      <w:tr w:rsidR="00D401A7" w14:paraId="467E593D" w14:textId="77777777">
        <w:trPr>
          <w:trHeight w:val="853"/>
        </w:trPr>
        <w:tc>
          <w:tcPr>
            <w:tcW w:w="1875" w:type="dxa"/>
            <w:shd w:val="clear" w:color="auto" w:fill="D9D9D9"/>
          </w:tcPr>
          <w:p w14:paraId="05740845" w14:textId="77777777" w:rsidR="00D401A7" w:rsidRDefault="00000000">
            <w:pPr>
              <w:rPr>
                <w:rFonts w:ascii="Calibri" w:eastAsia="Calibri" w:hAnsi="Calibri" w:cs="Calibri"/>
                <w:sz w:val="20"/>
                <w:szCs w:val="20"/>
              </w:rPr>
            </w:pPr>
            <w:r>
              <w:rPr>
                <w:rFonts w:ascii="Calibri" w:eastAsia="Calibri" w:hAnsi="Calibri" w:cs="Calibri"/>
                <w:sz w:val="20"/>
                <w:szCs w:val="20"/>
              </w:rPr>
              <w:t>CORRECT CAUDAL ANGLING DURING NEEDLE INSERTION</w:t>
            </w:r>
          </w:p>
        </w:tc>
        <w:tc>
          <w:tcPr>
            <w:tcW w:w="3195" w:type="dxa"/>
            <w:shd w:val="clear" w:color="auto" w:fill="D9D9D9"/>
          </w:tcPr>
          <w:p w14:paraId="4F6DF5D7" w14:textId="77777777" w:rsidR="00D401A7" w:rsidRDefault="00000000">
            <w:pPr>
              <w:rPr>
                <w:rFonts w:ascii="Calibri" w:eastAsia="Calibri" w:hAnsi="Calibri" w:cs="Calibri"/>
                <w:sz w:val="20"/>
                <w:szCs w:val="20"/>
              </w:rPr>
            </w:pPr>
            <w:r>
              <w:rPr>
                <w:rFonts w:ascii="Calibri" w:eastAsia="Calibri" w:hAnsi="Calibri" w:cs="Calibri"/>
                <w:sz w:val="20"/>
                <w:szCs w:val="20"/>
              </w:rPr>
              <w:t>CEPHALAD ANGLE or 90 DEGREES TO TRACHEA</w:t>
            </w:r>
          </w:p>
        </w:tc>
        <w:tc>
          <w:tcPr>
            <w:tcW w:w="3075" w:type="dxa"/>
            <w:shd w:val="clear" w:color="auto" w:fill="D9D9D9"/>
          </w:tcPr>
          <w:p w14:paraId="487D0A7A" w14:textId="77777777" w:rsidR="00D401A7" w:rsidRDefault="00000000">
            <w:pPr>
              <w:rPr>
                <w:rFonts w:ascii="Calibri" w:eastAsia="Calibri" w:hAnsi="Calibri" w:cs="Calibri"/>
                <w:sz w:val="20"/>
                <w:szCs w:val="20"/>
              </w:rPr>
            </w:pPr>
            <w:r>
              <w:rPr>
                <w:rFonts w:ascii="Calibri" w:eastAsia="Calibri" w:hAnsi="Calibri" w:cs="Calibri"/>
                <w:sz w:val="20"/>
                <w:szCs w:val="20"/>
              </w:rPr>
              <w:t>45 DEGREES CAUDAD</w:t>
            </w:r>
          </w:p>
        </w:tc>
        <w:tc>
          <w:tcPr>
            <w:tcW w:w="1800" w:type="dxa"/>
            <w:shd w:val="clear" w:color="auto" w:fill="D9D9D9"/>
          </w:tcPr>
          <w:p w14:paraId="0007CE34" w14:textId="77777777" w:rsidR="00D401A7" w:rsidRDefault="00D401A7">
            <w:pPr>
              <w:rPr>
                <w:rFonts w:ascii="Calibri" w:eastAsia="Calibri" w:hAnsi="Calibri" w:cs="Calibri"/>
                <w:sz w:val="16"/>
                <w:szCs w:val="16"/>
              </w:rPr>
            </w:pPr>
          </w:p>
        </w:tc>
      </w:tr>
      <w:tr w:rsidR="00D401A7" w14:paraId="566119D9" w14:textId="77777777">
        <w:trPr>
          <w:trHeight w:val="547"/>
        </w:trPr>
        <w:tc>
          <w:tcPr>
            <w:tcW w:w="1875" w:type="dxa"/>
          </w:tcPr>
          <w:p w14:paraId="7832436A" w14:textId="77777777" w:rsidR="00D401A7" w:rsidRDefault="00000000">
            <w:pPr>
              <w:rPr>
                <w:rFonts w:ascii="Calibri" w:eastAsia="Calibri" w:hAnsi="Calibri" w:cs="Calibri"/>
                <w:sz w:val="20"/>
                <w:szCs w:val="20"/>
              </w:rPr>
            </w:pPr>
            <w:r>
              <w:rPr>
                <w:rFonts w:ascii="Calibri" w:eastAsia="Calibri" w:hAnsi="Calibri" w:cs="Calibri"/>
                <w:sz w:val="20"/>
                <w:szCs w:val="20"/>
              </w:rPr>
              <w:t>ASPIRATION TO ID TRACHEA</w:t>
            </w:r>
          </w:p>
        </w:tc>
        <w:tc>
          <w:tcPr>
            <w:tcW w:w="3195" w:type="dxa"/>
          </w:tcPr>
          <w:p w14:paraId="3B512136" w14:textId="77777777" w:rsidR="00D401A7" w:rsidRDefault="00000000">
            <w:pPr>
              <w:rPr>
                <w:rFonts w:ascii="Calibri" w:eastAsia="Calibri" w:hAnsi="Calibri" w:cs="Calibri"/>
                <w:sz w:val="20"/>
                <w:szCs w:val="20"/>
              </w:rPr>
            </w:pPr>
            <w:r>
              <w:rPr>
                <w:rFonts w:ascii="Calibri" w:eastAsia="Calibri" w:hAnsi="Calibri" w:cs="Calibri"/>
                <w:sz w:val="20"/>
                <w:szCs w:val="20"/>
              </w:rPr>
              <w:t>DOES NOT ASPIRATE or ATTEMPTS BUT DOES NOT GET AIR BACK</w:t>
            </w:r>
          </w:p>
        </w:tc>
        <w:tc>
          <w:tcPr>
            <w:tcW w:w="3075" w:type="dxa"/>
          </w:tcPr>
          <w:p w14:paraId="3273D714" w14:textId="77777777" w:rsidR="00D401A7" w:rsidRDefault="00000000">
            <w:pPr>
              <w:rPr>
                <w:rFonts w:ascii="Calibri" w:eastAsia="Calibri" w:hAnsi="Calibri" w:cs="Calibri"/>
                <w:sz w:val="20"/>
                <w:szCs w:val="20"/>
              </w:rPr>
            </w:pPr>
            <w:r>
              <w:rPr>
                <w:rFonts w:ascii="Calibri" w:eastAsia="Calibri" w:hAnsi="Calibri" w:cs="Calibri"/>
                <w:sz w:val="20"/>
                <w:szCs w:val="20"/>
              </w:rPr>
              <w:t>ASPIRATES WITH AIR-FILLED SYRINGE</w:t>
            </w:r>
          </w:p>
        </w:tc>
        <w:tc>
          <w:tcPr>
            <w:tcW w:w="1800" w:type="dxa"/>
          </w:tcPr>
          <w:p w14:paraId="210EF887" w14:textId="77777777" w:rsidR="00D401A7" w:rsidRDefault="00D401A7">
            <w:pPr>
              <w:rPr>
                <w:rFonts w:ascii="Calibri" w:eastAsia="Calibri" w:hAnsi="Calibri" w:cs="Calibri"/>
                <w:sz w:val="16"/>
                <w:szCs w:val="16"/>
              </w:rPr>
            </w:pPr>
          </w:p>
        </w:tc>
      </w:tr>
      <w:tr w:rsidR="00D401A7" w14:paraId="406E17FF" w14:textId="77777777">
        <w:trPr>
          <w:trHeight w:val="993"/>
        </w:trPr>
        <w:tc>
          <w:tcPr>
            <w:tcW w:w="1875" w:type="dxa"/>
            <w:shd w:val="clear" w:color="auto" w:fill="D9D9D9"/>
          </w:tcPr>
          <w:p w14:paraId="66298C9F" w14:textId="77777777" w:rsidR="00D401A7" w:rsidRDefault="00000000">
            <w:pPr>
              <w:rPr>
                <w:rFonts w:ascii="Calibri" w:eastAsia="Calibri" w:hAnsi="Calibri" w:cs="Calibri"/>
                <w:sz w:val="20"/>
                <w:szCs w:val="20"/>
              </w:rPr>
            </w:pPr>
            <w:r>
              <w:rPr>
                <w:rFonts w:ascii="Calibri" w:eastAsia="Calibri" w:hAnsi="Calibri" w:cs="Calibri"/>
                <w:sz w:val="20"/>
                <w:szCs w:val="20"/>
              </w:rPr>
              <w:t>CORRECT CAUDAL ANGLING DURING GUIDEWIRE INSERTION</w:t>
            </w:r>
          </w:p>
        </w:tc>
        <w:tc>
          <w:tcPr>
            <w:tcW w:w="3195" w:type="dxa"/>
            <w:shd w:val="clear" w:color="auto" w:fill="D9D9D9"/>
          </w:tcPr>
          <w:p w14:paraId="63049417" w14:textId="77777777" w:rsidR="00D401A7" w:rsidRDefault="00000000">
            <w:pPr>
              <w:rPr>
                <w:rFonts w:ascii="Calibri" w:eastAsia="Calibri" w:hAnsi="Calibri" w:cs="Calibri"/>
                <w:sz w:val="20"/>
                <w:szCs w:val="20"/>
              </w:rPr>
            </w:pPr>
            <w:r>
              <w:rPr>
                <w:rFonts w:ascii="Calibri" w:eastAsia="Calibri" w:hAnsi="Calibri" w:cs="Calibri"/>
                <w:sz w:val="20"/>
                <w:szCs w:val="20"/>
              </w:rPr>
              <w:t>CEPHALAD ANGLE OR 90 DEGREES TO THE TRACHEA</w:t>
            </w:r>
          </w:p>
        </w:tc>
        <w:tc>
          <w:tcPr>
            <w:tcW w:w="3075" w:type="dxa"/>
            <w:shd w:val="clear" w:color="auto" w:fill="D9D9D9"/>
          </w:tcPr>
          <w:p w14:paraId="41B21883" w14:textId="77777777" w:rsidR="00D401A7" w:rsidRDefault="00000000">
            <w:pPr>
              <w:rPr>
                <w:rFonts w:ascii="Calibri" w:eastAsia="Calibri" w:hAnsi="Calibri" w:cs="Calibri"/>
                <w:sz w:val="20"/>
                <w:szCs w:val="20"/>
              </w:rPr>
            </w:pPr>
            <w:r>
              <w:rPr>
                <w:rFonts w:ascii="Calibri" w:eastAsia="Calibri" w:hAnsi="Calibri" w:cs="Calibri"/>
                <w:sz w:val="20"/>
                <w:szCs w:val="20"/>
              </w:rPr>
              <w:t>45 DEGREES CAUDAD</w:t>
            </w:r>
          </w:p>
        </w:tc>
        <w:tc>
          <w:tcPr>
            <w:tcW w:w="1800" w:type="dxa"/>
            <w:shd w:val="clear" w:color="auto" w:fill="D9D9D9"/>
          </w:tcPr>
          <w:p w14:paraId="6863317B" w14:textId="77777777" w:rsidR="00D401A7" w:rsidRDefault="00D401A7">
            <w:pPr>
              <w:rPr>
                <w:rFonts w:ascii="Calibri" w:eastAsia="Calibri" w:hAnsi="Calibri" w:cs="Calibri"/>
                <w:sz w:val="16"/>
                <w:szCs w:val="16"/>
              </w:rPr>
            </w:pPr>
          </w:p>
        </w:tc>
      </w:tr>
      <w:tr w:rsidR="00D401A7" w14:paraId="5756E9F9" w14:textId="77777777">
        <w:trPr>
          <w:trHeight w:val="744"/>
        </w:trPr>
        <w:tc>
          <w:tcPr>
            <w:tcW w:w="1875" w:type="dxa"/>
          </w:tcPr>
          <w:p w14:paraId="5A9B6315" w14:textId="77777777" w:rsidR="00D401A7" w:rsidRDefault="00000000">
            <w:pPr>
              <w:rPr>
                <w:rFonts w:ascii="Calibri" w:eastAsia="Calibri" w:hAnsi="Calibri" w:cs="Calibri"/>
                <w:sz w:val="20"/>
                <w:szCs w:val="20"/>
              </w:rPr>
            </w:pPr>
            <w:r>
              <w:rPr>
                <w:rFonts w:ascii="Calibri" w:eastAsia="Calibri" w:hAnsi="Calibri" w:cs="Calibri"/>
                <w:sz w:val="20"/>
                <w:szCs w:val="20"/>
              </w:rPr>
              <w:t>ADEQUATE SKIN AND MEMBRANE INCISION</w:t>
            </w:r>
          </w:p>
        </w:tc>
        <w:tc>
          <w:tcPr>
            <w:tcW w:w="3195" w:type="dxa"/>
          </w:tcPr>
          <w:p w14:paraId="1635077B" w14:textId="77777777" w:rsidR="00D401A7" w:rsidRDefault="00000000">
            <w:pPr>
              <w:rPr>
                <w:rFonts w:ascii="Calibri" w:eastAsia="Calibri" w:hAnsi="Calibri" w:cs="Calibri"/>
                <w:sz w:val="20"/>
                <w:szCs w:val="20"/>
              </w:rPr>
            </w:pPr>
            <w:r>
              <w:rPr>
                <w:rFonts w:ascii="Calibri" w:eastAsia="Calibri" w:hAnsi="Calibri" w:cs="Calibri"/>
                <w:sz w:val="20"/>
                <w:szCs w:val="20"/>
              </w:rPr>
              <w:t>DOES NOT USE SCALPEL FOR INCISION OR DOES NOT CUT THROUGH SKIN AND CTM</w:t>
            </w:r>
          </w:p>
        </w:tc>
        <w:tc>
          <w:tcPr>
            <w:tcW w:w="3075" w:type="dxa"/>
          </w:tcPr>
          <w:p w14:paraId="0B6CADEA" w14:textId="77777777" w:rsidR="00D401A7" w:rsidRDefault="00000000">
            <w:pPr>
              <w:rPr>
                <w:rFonts w:ascii="Calibri" w:eastAsia="Calibri" w:hAnsi="Calibri" w:cs="Calibri"/>
                <w:sz w:val="20"/>
                <w:szCs w:val="20"/>
              </w:rPr>
            </w:pPr>
            <w:r>
              <w:rPr>
                <w:rFonts w:ascii="Calibri" w:eastAsia="Calibri" w:hAnsi="Calibri" w:cs="Calibri"/>
                <w:sz w:val="20"/>
                <w:szCs w:val="20"/>
              </w:rPr>
              <w:t>CUTS SKIN AND CRICOTHYROID MEMBRANE</w:t>
            </w:r>
          </w:p>
        </w:tc>
        <w:tc>
          <w:tcPr>
            <w:tcW w:w="1800" w:type="dxa"/>
          </w:tcPr>
          <w:p w14:paraId="63588E45" w14:textId="77777777" w:rsidR="00D401A7" w:rsidRDefault="00D401A7">
            <w:pPr>
              <w:rPr>
                <w:rFonts w:ascii="Calibri" w:eastAsia="Calibri" w:hAnsi="Calibri" w:cs="Calibri"/>
                <w:sz w:val="16"/>
                <w:szCs w:val="16"/>
              </w:rPr>
            </w:pPr>
          </w:p>
        </w:tc>
      </w:tr>
      <w:tr w:rsidR="00D401A7" w14:paraId="6766D580" w14:textId="77777777">
        <w:trPr>
          <w:trHeight w:val="1141"/>
        </w:trPr>
        <w:tc>
          <w:tcPr>
            <w:tcW w:w="1875" w:type="dxa"/>
            <w:shd w:val="clear" w:color="auto" w:fill="D9D9D9"/>
          </w:tcPr>
          <w:p w14:paraId="3C5AC76E" w14:textId="77777777" w:rsidR="00D401A7" w:rsidRDefault="00000000">
            <w:pPr>
              <w:rPr>
                <w:rFonts w:ascii="Calibri" w:eastAsia="Calibri" w:hAnsi="Calibri" w:cs="Calibri"/>
                <w:sz w:val="20"/>
                <w:szCs w:val="20"/>
              </w:rPr>
            </w:pPr>
            <w:r>
              <w:rPr>
                <w:rFonts w:ascii="Calibri" w:eastAsia="Calibri" w:hAnsi="Calibri" w:cs="Calibri"/>
                <w:sz w:val="20"/>
                <w:szCs w:val="20"/>
              </w:rPr>
              <w:t>CORRECT USE OF DILATOR AND CRICOTHYROTOMY</w:t>
            </w:r>
          </w:p>
        </w:tc>
        <w:tc>
          <w:tcPr>
            <w:tcW w:w="3195" w:type="dxa"/>
            <w:shd w:val="clear" w:color="auto" w:fill="D9D9D9"/>
          </w:tcPr>
          <w:p w14:paraId="01A195DD" w14:textId="77777777" w:rsidR="00D401A7" w:rsidRDefault="00000000">
            <w:pPr>
              <w:rPr>
                <w:rFonts w:ascii="Calibri" w:eastAsia="Calibri" w:hAnsi="Calibri" w:cs="Calibri"/>
                <w:sz w:val="20"/>
                <w:szCs w:val="20"/>
              </w:rPr>
            </w:pPr>
            <w:r>
              <w:rPr>
                <w:rFonts w:ascii="Calibri" w:eastAsia="Calibri" w:hAnsi="Calibri" w:cs="Calibri"/>
                <w:sz w:val="20"/>
                <w:szCs w:val="20"/>
              </w:rPr>
              <w:t xml:space="preserve">ATTEMPTS TO INSERT CANNULA W/O DILATOR IN PLACE OR SEPARATES DILATOR AND THEN RAILROADS ENTIRE ASSEMBLY </w:t>
            </w:r>
          </w:p>
        </w:tc>
        <w:tc>
          <w:tcPr>
            <w:tcW w:w="3075" w:type="dxa"/>
            <w:shd w:val="clear" w:color="auto" w:fill="D9D9D9"/>
          </w:tcPr>
          <w:p w14:paraId="2EFEFD07" w14:textId="77777777" w:rsidR="00D401A7" w:rsidRDefault="00000000">
            <w:pPr>
              <w:rPr>
                <w:rFonts w:ascii="Calibri" w:eastAsia="Calibri" w:hAnsi="Calibri" w:cs="Calibri"/>
                <w:sz w:val="20"/>
                <w:szCs w:val="20"/>
              </w:rPr>
            </w:pPr>
            <w:r>
              <w:rPr>
                <w:rFonts w:ascii="Calibri" w:eastAsia="Calibri" w:hAnsi="Calibri" w:cs="Calibri"/>
                <w:sz w:val="20"/>
                <w:szCs w:val="20"/>
              </w:rPr>
              <w:t>RAILROADS ENTIRE ASSEMBLY (DILATOR AND CANNULA</w:t>
            </w:r>
            <w:proofErr w:type="gramStart"/>
            <w:r>
              <w:rPr>
                <w:rFonts w:ascii="Calibri" w:eastAsia="Calibri" w:hAnsi="Calibri" w:cs="Calibri"/>
                <w:sz w:val="20"/>
                <w:szCs w:val="20"/>
              </w:rPr>
              <w:t>);,</w:t>
            </w:r>
            <w:proofErr w:type="gramEnd"/>
            <w:r>
              <w:rPr>
                <w:rFonts w:ascii="Calibri" w:eastAsia="Calibri" w:hAnsi="Calibri" w:cs="Calibri"/>
                <w:sz w:val="20"/>
                <w:szCs w:val="20"/>
              </w:rPr>
              <w:t xml:space="preserve"> REMOVES DILATOR AND GUIDEWIRE AS SINGLE UNIT</w:t>
            </w:r>
          </w:p>
        </w:tc>
        <w:tc>
          <w:tcPr>
            <w:tcW w:w="1800" w:type="dxa"/>
            <w:shd w:val="clear" w:color="auto" w:fill="D9D9D9"/>
          </w:tcPr>
          <w:p w14:paraId="073DC2CD" w14:textId="77777777" w:rsidR="00D401A7" w:rsidRDefault="00D401A7">
            <w:pPr>
              <w:rPr>
                <w:rFonts w:ascii="Calibri" w:eastAsia="Calibri" w:hAnsi="Calibri" w:cs="Calibri"/>
                <w:sz w:val="16"/>
                <w:szCs w:val="16"/>
              </w:rPr>
            </w:pPr>
          </w:p>
        </w:tc>
      </w:tr>
      <w:tr w:rsidR="00D401A7" w14:paraId="312BE8E4" w14:textId="77777777">
        <w:trPr>
          <w:trHeight w:val="993"/>
        </w:trPr>
        <w:tc>
          <w:tcPr>
            <w:tcW w:w="1875" w:type="dxa"/>
          </w:tcPr>
          <w:p w14:paraId="6F197955" w14:textId="77777777" w:rsidR="00D401A7" w:rsidRDefault="00000000">
            <w:pPr>
              <w:rPr>
                <w:rFonts w:ascii="Calibri" w:eastAsia="Calibri" w:hAnsi="Calibri" w:cs="Calibri"/>
                <w:sz w:val="20"/>
                <w:szCs w:val="20"/>
              </w:rPr>
            </w:pPr>
            <w:r>
              <w:rPr>
                <w:rFonts w:ascii="Calibri" w:eastAsia="Calibri" w:hAnsi="Calibri" w:cs="Calibri"/>
                <w:sz w:val="20"/>
                <w:szCs w:val="20"/>
              </w:rPr>
              <w:lastRenderedPageBreak/>
              <w:t>VENTILATION DURING CRICOTHYROTOMY</w:t>
            </w:r>
          </w:p>
        </w:tc>
        <w:tc>
          <w:tcPr>
            <w:tcW w:w="3195" w:type="dxa"/>
          </w:tcPr>
          <w:p w14:paraId="3F50B4B4" w14:textId="77777777" w:rsidR="00D401A7" w:rsidRDefault="00000000">
            <w:pPr>
              <w:rPr>
                <w:rFonts w:ascii="Calibri" w:eastAsia="Calibri" w:hAnsi="Calibri" w:cs="Calibri"/>
                <w:sz w:val="20"/>
                <w:szCs w:val="20"/>
              </w:rPr>
            </w:pPr>
            <w:r>
              <w:rPr>
                <w:rFonts w:ascii="Calibri" w:eastAsia="Calibri" w:hAnsi="Calibri" w:cs="Calibri"/>
                <w:sz w:val="20"/>
                <w:szCs w:val="20"/>
              </w:rPr>
              <w:t>DOES NOT VERBALIZE NEED TO VENTILATE TO CONFIRM CRICOTHYROTOMY PLACEMENT</w:t>
            </w:r>
          </w:p>
        </w:tc>
        <w:tc>
          <w:tcPr>
            <w:tcW w:w="3075" w:type="dxa"/>
          </w:tcPr>
          <w:p w14:paraId="16313CED" w14:textId="77777777" w:rsidR="00D401A7" w:rsidRDefault="00000000">
            <w:pPr>
              <w:rPr>
                <w:rFonts w:ascii="Calibri" w:eastAsia="Calibri" w:hAnsi="Calibri" w:cs="Calibri"/>
                <w:sz w:val="20"/>
                <w:szCs w:val="20"/>
              </w:rPr>
            </w:pPr>
            <w:r>
              <w:rPr>
                <w:rFonts w:ascii="Calibri" w:eastAsia="Calibri" w:hAnsi="Calibri" w:cs="Calibri"/>
                <w:sz w:val="20"/>
                <w:szCs w:val="20"/>
              </w:rPr>
              <w:t>VERBALIZES NEED TO VENTILATE TO CONFIRM CRICOTHYROTOMY PLACEMENT</w:t>
            </w:r>
          </w:p>
        </w:tc>
        <w:tc>
          <w:tcPr>
            <w:tcW w:w="1800" w:type="dxa"/>
          </w:tcPr>
          <w:p w14:paraId="79FB1A46" w14:textId="77777777" w:rsidR="00D401A7" w:rsidRDefault="00D401A7">
            <w:pPr>
              <w:rPr>
                <w:rFonts w:ascii="Calibri" w:eastAsia="Calibri" w:hAnsi="Calibri" w:cs="Calibri"/>
                <w:sz w:val="16"/>
                <w:szCs w:val="16"/>
              </w:rPr>
            </w:pPr>
          </w:p>
        </w:tc>
      </w:tr>
      <w:tr w:rsidR="00D401A7" w14:paraId="3BCD17EC" w14:textId="77777777">
        <w:trPr>
          <w:trHeight w:val="529"/>
        </w:trPr>
        <w:tc>
          <w:tcPr>
            <w:tcW w:w="1875" w:type="dxa"/>
            <w:shd w:val="clear" w:color="auto" w:fill="D9D9D9"/>
          </w:tcPr>
          <w:p w14:paraId="7C92373C" w14:textId="77777777" w:rsidR="00D401A7" w:rsidRDefault="00000000">
            <w:pPr>
              <w:rPr>
                <w:rFonts w:ascii="Calibri" w:eastAsia="Calibri" w:hAnsi="Calibri" w:cs="Calibri"/>
                <w:sz w:val="20"/>
                <w:szCs w:val="20"/>
              </w:rPr>
            </w:pPr>
            <w:r>
              <w:rPr>
                <w:rFonts w:ascii="Calibri" w:eastAsia="Calibri" w:hAnsi="Calibri" w:cs="Calibri"/>
                <w:sz w:val="20"/>
                <w:szCs w:val="20"/>
              </w:rPr>
              <w:t>AIRWAY SECUREMENT</w:t>
            </w:r>
          </w:p>
        </w:tc>
        <w:tc>
          <w:tcPr>
            <w:tcW w:w="3195" w:type="dxa"/>
            <w:shd w:val="clear" w:color="auto" w:fill="D9D9D9"/>
          </w:tcPr>
          <w:p w14:paraId="105DF2C9" w14:textId="77777777" w:rsidR="00D401A7" w:rsidRDefault="00000000">
            <w:pPr>
              <w:rPr>
                <w:rFonts w:ascii="Calibri" w:eastAsia="Calibri" w:hAnsi="Calibri" w:cs="Calibri"/>
                <w:sz w:val="20"/>
                <w:szCs w:val="20"/>
              </w:rPr>
            </w:pPr>
            <w:r>
              <w:rPr>
                <w:rFonts w:ascii="Calibri" w:eastAsia="Calibri" w:hAnsi="Calibri" w:cs="Calibri"/>
                <w:sz w:val="20"/>
                <w:szCs w:val="20"/>
              </w:rPr>
              <w:t>DOES NOT SECURE AIRWAY CATHETER</w:t>
            </w:r>
          </w:p>
        </w:tc>
        <w:tc>
          <w:tcPr>
            <w:tcW w:w="3075" w:type="dxa"/>
            <w:shd w:val="clear" w:color="auto" w:fill="D9D9D9"/>
          </w:tcPr>
          <w:p w14:paraId="7F37B167" w14:textId="77777777" w:rsidR="00D401A7" w:rsidRDefault="00000000">
            <w:pPr>
              <w:rPr>
                <w:rFonts w:ascii="Calibri" w:eastAsia="Calibri" w:hAnsi="Calibri" w:cs="Calibri"/>
                <w:sz w:val="20"/>
                <w:szCs w:val="20"/>
              </w:rPr>
            </w:pPr>
            <w:r>
              <w:rPr>
                <w:rFonts w:ascii="Calibri" w:eastAsia="Calibri" w:hAnsi="Calibri" w:cs="Calibri"/>
                <w:sz w:val="20"/>
                <w:szCs w:val="20"/>
              </w:rPr>
              <w:t>APPROPRIATE CATHETERS TIES/STRAP USE</w:t>
            </w:r>
          </w:p>
        </w:tc>
        <w:tc>
          <w:tcPr>
            <w:tcW w:w="1800" w:type="dxa"/>
            <w:shd w:val="clear" w:color="auto" w:fill="D9D9D9"/>
          </w:tcPr>
          <w:p w14:paraId="169DB8F4" w14:textId="77777777" w:rsidR="00D401A7" w:rsidRDefault="00D401A7">
            <w:pPr>
              <w:rPr>
                <w:rFonts w:ascii="Calibri" w:eastAsia="Calibri" w:hAnsi="Calibri" w:cs="Calibri"/>
                <w:sz w:val="16"/>
                <w:szCs w:val="16"/>
              </w:rPr>
            </w:pPr>
          </w:p>
        </w:tc>
      </w:tr>
      <w:tr w:rsidR="00D401A7" w14:paraId="40BF1E87" w14:textId="77777777">
        <w:trPr>
          <w:trHeight w:val="286"/>
        </w:trPr>
        <w:tc>
          <w:tcPr>
            <w:tcW w:w="1875" w:type="dxa"/>
          </w:tcPr>
          <w:p w14:paraId="461B83D0" w14:textId="77777777" w:rsidR="00D401A7" w:rsidRDefault="00000000">
            <w:pPr>
              <w:rPr>
                <w:rFonts w:ascii="Calibri" w:eastAsia="Calibri" w:hAnsi="Calibri" w:cs="Calibri"/>
                <w:b/>
                <w:i/>
                <w:sz w:val="24"/>
                <w:szCs w:val="24"/>
              </w:rPr>
            </w:pPr>
            <w:r>
              <w:rPr>
                <w:rFonts w:ascii="Calibri" w:eastAsia="Calibri" w:hAnsi="Calibri" w:cs="Calibri"/>
                <w:b/>
                <w:i/>
                <w:sz w:val="24"/>
                <w:szCs w:val="24"/>
              </w:rPr>
              <w:t>TOTAL SCORE</w:t>
            </w:r>
          </w:p>
        </w:tc>
        <w:tc>
          <w:tcPr>
            <w:tcW w:w="3195" w:type="dxa"/>
          </w:tcPr>
          <w:p w14:paraId="289C9C8E" w14:textId="77777777" w:rsidR="00D401A7" w:rsidRDefault="00000000">
            <w:pPr>
              <w:jc w:val="center"/>
              <w:rPr>
                <w:rFonts w:ascii="Calibri" w:eastAsia="Calibri" w:hAnsi="Calibri" w:cs="Calibri"/>
                <w:sz w:val="16"/>
                <w:szCs w:val="16"/>
              </w:rPr>
            </w:pPr>
            <w:r>
              <w:rPr>
                <w:rFonts w:ascii="Calibri" w:eastAsia="Calibri" w:hAnsi="Calibri" w:cs="Calibri"/>
                <w:sz w:val="16"/>
                <w:szCs w:val="16"/>
              </w:rPr>
              <w:t>-</w:t>
            </w:r>
          </w:p>
        </w:tc>
        <w:tc>
          <w:tcPr>
            <w:tcW w:w="3075" w:type="dxa"/>
          </w:tcPr>
          <w:p w14:paraId="1B2EACD5" w14:textId="77777777" w:rsidR="00D401A7" w:rsidRDefault="00000000">
            <w:pPr>
              <w:jc w:val="center"/>
              <w:rPr>
                <w:rFonts w:ascii="Calibri" w:eastAsia="Calibri" w:hAnsi="Calibri" w:cs="Calibri"/>
                <w:sz w:val="16"/>
                <w:szCs w:val="16"/>
              </w:rPr>
            </w:pPr>
            <w:r>
              <w:rPr>
                <w:rFonts w:ascii="Calibri" w:eastAsia="Calibri" w:hAnsi="Calibri" w:cs="Calibri"/>
                <w:sz w:val="16"/>
                <w:szCs w:val="16"/>
              </w:rPr>
              <w:t>-</w:t>
            </w:r>
          </w:p>
        </w:tc>
        <w:tc>
          <w:tcPr>
            <w:tcW w:w="1800" w:type="dxa"/>
          </w:tcPr>
          <w:p w14:paraId="68A93886" w14:textId="77777777" w:rsidR="00D401A7" w:rsidRDefault="00D401A7">
            <w:pPr>
              <w:rPr>
                <w:rFonts w:ascii="Calibri" w:eastAsia="Calibri" w:hAnsi="Calibri" w:cs="Calibri"/>
                <w:sz w:val="16"/>
                <w:szCs w:val="16"/>
              </w:rPr>
            </w:pPr>
          </w:p>
          <w:p w14:paraId="3EEA6205" w14:textId="77777777" w:rsidR="00D401A7" w:rsidRDefault="00D401A7">
            <w:pPr>
              <w:rPr>
                <w:rFonts w:ascii="Calibri" w:eastAsia="Calibri" w:hAnsi="Calibri" w:cs="Calibri"/>
                <w:sz w:val="16"/>
                <w:szCs w:val="16"/>
              </w:rPr>
            </w:pPr>
          </w:p>
        </w:tc>
      </w:tr>
    </w:tbl>
    <w:p w14:paraId="7F02EA2B" w14:textId="77777777" w:rsidR="00D401A7" w:rsidRDefault="00D401A7">
      <w:pPr>
        <w:spacing w:line="480" w:lineRule="auto"/>
        <w:jc w:val="center"/>
        <w:rPr>
          <w:rFonts w:ascii="Times New Roman" w:eastAsia="Times New Roman" w:hAnsi="Times New Roman" w:cs="Times New Roman"/>
          <w:b/>
          <w:sz w:val="24"/>
          <w:szCs w:val="24"/>
        </w:rPr>
      </w:pPr>
      <w:bookmarkStart w:id="4" w:name="bookmark=kix.vt90gh5fcwgy" w:colFirst="0" w:colLast="0"/>
      <w:bookmarkEnd w:id="4"/>
    </w:p>
    <w:p w14:paraId="2DDE7E9D" w14:textId="77777777" w:rsidR="00D401A7" w:rsidRDefault="00D401A7">
      <w:pPr>
        <w:spacing w:line="480" w:lineRule="auto"/>
        <w:jc w:val="center"/>
        <w:rPr>
          <w:rFonts w:ascii="Times New Roman" w:eastAsia="Times New Roman" w:hAnsi="Times New Roman" w:cs="Times New Roman"/>
          <w:b/>
          <w:sz w:val="24"/>
          <w:szCs w:val="24"/>
        </w:rPr>
      </w:pPr>
    </w:p>
    <w:p w14:paraId="4BAC24C7" w14:textId="77777777" w:rsidR="00D401A7" w:rsidRDefault="00D401A7">
      <w:pPr>
        <w:spacing w:line="480" w:lineRule="auto"/>
        <w:jc w:val="center"/>
        <w:rPr>
          <w:rFonts w:ascii="Times New Roman" w:eastAsia="Times New Roman" w:hAnsi="Times New Roman" w:cs="Times New Roman"/>
          <w:b/>
          <w:sz w:val="24"/>
          <w:szCs w:val="24"/>
        </w:rPr>
      </w:pPr>
    </w:p>
    <w:p w14:paraId="260BB4AB"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Appendix G: </w:t>
      </w:r>
      <w:r>
        <w:rPr>
          <w:rFonts w:ascii="Times New Roman" w:eastAsia="Times New Roman" w:hAnsi="Times New Roman" w:cs="Times New Roman"/>
          <w:sz w:val="24"/>
          <w:szCs w:val="24"/>
        </w:rPr>
        <w:t>IRB Approval</w:t>
      </w:r>
    </w:p>
    <w:p w14:paraId="2A1EDDD0" w14:textId="77777777" w:rsidR="00D401A7" w:rsidRDefault="00000000">
      <w:pPr>
        <w:spacing w:line="480" w:lineRule="auto"/>
        <w:jc w:val="center"/>
        <w:rPr>
          <w:rFonts w:ascii="Times New Roman" w:eastAsia="Times New Roman" w:hAnsi="Times New Roman" w:cs="Times New Roman"/>
          <w:sz w:val="24"/>
          <w:szCs w:val="24"/>
        </w:rPr>
        <w:sectPr w:rsidR="00D401A7">
          <w:pgSz w:w="12240" w:h="15840"/>
          <w:pgMar w:top="1440" w:right="1440" w:bottom="1440" w:left="1440" w:header="720" w:footer="720" w:gutter="0"/>
          <w:cols w:space="720"/>
        </w:sectPr>
      </w:pPr>
      <w:r>
        <w:rPr>
          <w:rFonts w:ascii="Times New Roman" w:eastAsia="Times New Roman" w:hAnsi="Times New Roman" w:cs="Times New Roman"/>
          <w:noProof/>
          <w:sz w:val="24"/>
          <w:szCs w:val="24"/>
        </w:rPr>
        <w:lastRenderedPageBreak/>
        <w:drawing>
          <wp:inline distT="0" distB="0" distL="0" distR="0" wp14:anchorId="22B493ED" wp14:editId="049BB4FB">
            <wp:extent cx="5682243" cy="7353527"/>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2"/>
                    <a:srcRect/>
                    <a:stretch>
                      <a:fillRect/>
                    </a:stretch>
                  </pic:blipFill>
                  <pic:spPr>
                    <a:xfrm>
                      <a:off x="0" y="0"/>
                      <a:ext cx="5682243" cy="7353527"/>
                    </a:xfrm>
                    <a:prstGeom prst="rect">
                      <a:avLst/>
                    </a:prstGeom>
                    <a:ln/>
                  </pic:spPr>
                </pic:pic>
              </a:graphicData>
            </a:graphic>
          </wp:inline>
        </w:drawing>
      </w:r>
    </w:p>
    <w:p w14:paraId="7D30384B" w14:textId="77777777" w:rsidR="00D401A7" w:rsidRDefault="00000000">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Appendix H: </w:t>
      </w:r>
      <w:r>
        <w:rPr>
          <w:rFonts w:ascii="Times New Roman" w:eastAsia="Times New Roman" w:hAnsi="Times New Roman" w:cs="Times New Roman"/>
          <w:sz w:val="24"/>
          <w:szCs w:val="24"/>
        </w:rPr>
        <w:t xml:space="preserve">Project Timeline </w:t>
      </w:r>
    </w:p>
    <w:tbl>
      <w:tblPr>
        <w:tblStyle w:val="affffc"/>
        <w:tblW w:w="125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50"/>
        <w:gridCol w:w="810"/>
        <w:gridCol w:w="825"/>
        <w:gridCol w:w="825"/>
        <w:gridCol w:w="810"/>
        <w:gridCol w:w="810"/>
        <w:gridCol w:w="810"/>
        <w:gridCol w:w="825"/>
        <w:gridCol w:w="915"/>
        <w:gridCol w:w="885"/>
        <w:gridCol w:w="915"/>
        <w:gridCol w:w="810"/>
        <w:gridCol w:w="825"/>
        <w:gridCol w:w="810"/>
      </w:tblGrid>
      <w:tr w:rsidR="00D401A7" w14:paraId="76532717" w14:textId="77777777">
        <w:trPr>
          <w:trHeight w:val="390"/>
        </w:trPr>
        <w:tc>
          <w:tcPr>
            <w:tcW w:w="16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DEC9D3E"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Task</w:t>
            </w:r>
          </w:p>
        </w:tc>
        <w:tc>
          <w:tcPr>
            <w:tcW w:w="8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9592113"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3/22</w:t>
            </w:r>
          </w:p>
        </w:tc>
        <w:tc>
          <w:tcPr>
            <w:tcW w:w="82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B56AFAB"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4/22</w:t>
            </w:r>
          </w:p>
        </w:tc>
        <w:tc>
          <w:tcPr>
            <w:tcW w:w="82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79DFDD3"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5/22</w:t>
            </w:r>
          </w:p>
        </w:tc>
        <w:tc>
          <w:tcPr>
            <w:tcW w:w="8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31F652A"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6/22</w:t>
            </w:r>
          </w:p>
        </w:tc>
        <w:tc>
          <w:tcPr>
            <w:tcW w:w="8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678CA1C"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7/22</w:t>
            </w:r>
          </w:p>
        </w:tc>
        <w:tc>
          <w:tcPr>
            <w:tcW w:w="8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EE6373"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8/22</w:t>
            </w:r>
          </w:p>
        </w:tc>
        <w:tc>
          <w:tcPr>
            <w:tcW w:w="82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E69ED00"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9/22</w:t>
            </w:r>
          </w:p>
        </w:tc>
        <w:tc>
          <w:tcPr>
            <w:tcW w:w="91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0B5D1A7"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10/22</w:t>
            </w:r>
          </w:p>
        </w:tc>
        <w:tc>
          <w:tcPr>
            <w:tcW w:w="88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A38A413"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11/22</w:t>
            </w:r>
          </w:p>
        </w:tc>
        <w:tc>
          <w:tcPr>
            <w:tcW w:w="91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9FB2D6A"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12/22</w:t>
            </w:r>
          </w:p>
        </w:tc>
        <w:tc>
          <w:tcPr>
            <w:tcW w:w="8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0A2469"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1/23</w:t>
            </w:r>
          </w:p>
        </w:tc>
        <w:tc>
          <w:tcPr>
            <w:tcW w:w="82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238F02"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2/23</w:t>
            </w:r>
          </w:p>
        </w:tc>
        <w:tc>
          <w:tcPr>
            <w:tcW w:w="8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33228C7" w14:textId="77777777" w:rsidR="00D401A7" w:rsidRDefault="00000000">
            <w:pPr>
              <w:spacing w:line="523" w:lineRule="auto"/>
              <w:ind w:left="140" w:right="140"/>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3/23</w:t>
            </w:r>
          </w:p>
        </w:tc>
      </w:tr>
      <w:tr w:rsidR="00D401A7" w14:paraId="0410CC53" w14:textId="77777777">
        <w:trPr>
          <w:trHeight w:val="51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0FA486"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IRB Approval</w:t>
            </w:r>
          </w:p>
        </w:tc>
        <w:tc>
          <w:tcPr>
            <w:tcW w:w="810" w:type="dxa"/>
            <w:tcBorders>
              <w:bottom w:val="single" w:sz="8" w:space="0" w:color="000000"/>
              <w:right w:val="single" w:sz="8" w:space="0" w:color="000000"/>
            </w:tcBorders>
            <w:tcMar>
              <w:top w:w="100" w:type="dxa"/>
              <w:left w:w="100" w:type="dxa"/>
              <w:bottom w:w="100" w:type="dxa"/>
              <w:right w:w="100" w:type="dxa"/>
            </w:tcMar>
          </w:tcPr>
          <w:p w14:paraId="46279C98" w14:textId="77777777" w:rsidR="00D401A7" w:rsidRDefault="00000000">
            <w:pPr>
              <w:spacing w:line="523" w:lineRule="auto"/>
              <w:ind w:left="140" w:right="14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78AF4D0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782C0A1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4C8D20CD"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810" w:type="dxa"/>
            <w:tcBorders>
              <w:bottom w:val="single" w:sz="8" w:space="0" w:color="000000"/>
              <w:right w:val="single" w:sz="8" w:space="0" w:color="000000"/>
            </w:tcBorders>
            <w:tcMar>
              <w:top w:w="100" w:type="dxa"/>
              <w:left w:w="100" w:type="dxa"/>
              <w:bottom w:w="100" w:type="dxa"/>
              <w:right w:w="100" w:type="dxa"/>
            </w:tcMar>
          </w:tcPr>
          <w:p w14:paraId="5D3034B5"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1D62F499"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784E5A2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70E6BDA6"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85" w:type="dxa"/>
            <w:tcBorders>
              <w:bottom w:val="single" w:sz="8" w:space="0" w:color="000000"/>
              <w:right w:val="single" w:sz="8" w:space="0" w:color="000000"/>
            </w:tcBorders>
            <w:tcMar>
              <w:top w:w="100" w:type="dxa"/>
              <w:left w:w="100" w:type="dxa"/>
              <w:bottom w:w="100" w:type="dxa"/>
              <w:right w:w="100" w:type="dxa"/>
            </w:tcMar>
          </w:tcPr>
          <w:p w14:paraId="5F067DD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1715A627"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3493D6D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26A70566"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7086F278"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79663228" w14:textId="77777777">
        <w:trPr>
          <w:trHeight w:val="51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7B40D4"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DNP Proposal Completion</w:t>
            </w:r>
          </w:p>
        </w:tc>
        <w:tc>
          <w:tcPr>
            <w:tcW w:w="810" w:type="dxa"/>
            <w:tcBorders>
              <w:bottom w:val="single" w:sz="8" w:space="0" w:color="000000"/>
              <w:right w:val="single" w:sz="8" w:space="0" w:color="000000"/>
            </w:tcBorders>
            <w:tcMar>
              <w:top w:w="100" w:type="dxa"/>
              <w:left w:w="100" w:type="dxa"/>
              <w:bottom w:w="100" w:type="dxa"/>
              <w:right w:w="100" w:type="dxa"/>
            </w:tcMar>
          </w:tcPr>
          <w:p w14:paraId="7A72D316" w14:textId="77777777" w:rsidR="00D401A7" w:rsidRDefault="00D401A7">
            <w:pPr>
              <w:spacing w:line="523" w:lineRule="auto"/>
              <w:ind w:left="140" w:right="140"/>
              <w:jc w:val="center"/>
              <w:rPr>
                <w:rFonts w:ascii="Times New Roman" w:eastAsia="Times New Roman" w:hAnsi="Times New Roman" w:cs="Times New Roman"/>
                <w:i/>
                <w:sz w:val="20"/>
                <w:szCs w:val="20"/>
              </w:rPr>
            </w:pPr>
          </w:p>
        </w:tc>
        <w:tc>
          <w:tcPr>
            <w:tcW w:w="825" w:type="dxa"/>
            <w:tcBorders>
              <w:bottom w:val="single" w:sz="8" w:space="0" w:color="000000"/>
              <w:right w:val="single" w:sz="8" w:space="0" w:color="000000"/>
            </w:tcBorders>
            <w:tcMar>
              <w:top w:w="100" w:type="dxa"/>
              <w:left w:w="100" w:type="dxa"/>
              <w:bottom w:w="100" w:type="dxa"/>
              <w:right w:w="100" w:type="dxa"/>
            </w:tcMar>
          </w:tcPr>
          <w:p w14:paraId="2218FD89" w14:textId="77777777" w:rsidR="00D401A7" w:rsidRDefault="00D401A7">
            <w:pPr>
              <w:spacing w:line="523" w:lineRule="auto"/>
              <w:ind w:left="140" w:right="140"/>
              <w:rPr>
                <w:rFonts w:ascii="Times New Roman" w:eastAsia="Times New Roman" w:hAnsi="Times New Roman" w:cs="Times New Roman"/>
                <w:b/>
                <w:sz w:val="24"/>
                <w:szCs w:val="24"/>
              </w:rPr>
            </w:pPr>
          </w:p>
        </w:tc>
        <w:tc>
          <w:tcPr>
            <w:tcW w:w="825" w:type="dxa"/>
            <w:tcBorders>
              <w:bottom w:val="single" w:sz="8" w:space="0" w:color="000000"/>
              <w:right w:val="single" w:sz="8" w:space="0" w:color="000000"/>
            </w:tcBorders>
            <w:tcMar>
              <w:top w:w="100" w:type="dxa"/>
              <w:left w:w="100" w:type="dxa"/>
              <w:bottom w:w="100" w:type="dxa"/>
              <w:right w:w="100" w:type="dxa"/>
            </w:tcMar>
          </w:tcPr>
          <w:p w14:paraId="33C3451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810" w:type="dxa"/>
            <w:tcBorders>
              <w:bottom w:val="single" w:sz="8" w:space="0" w:color="000000"/>
              <w:right w:val="single" w:sz="8" w:space="0" w:color="000000"/>
            </w:tcBorders>
            <w:tcMar>
              <w:top w:w="100" w:type="dxa"/>
              <w:left w:w="100" w:type="dxa"/>
              <w:bottom w:w="100" w:type="dxa"/>
              <w:right w:w="100" w:type="dxa"/>
            </w:tcMar>
          </w:tcPr>
          <w:p w14:paraId="653D5DE9"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7E48B172"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45CC61A4"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25" w:type="dxa"/>
            <w:tcBorders>
              <w:bottom w:val="single" w:sz="8" w:space="0" w:color="000000"/>
              <w:right w:val="single" w:sz="8" w:space="0" w:color="000000"/>
            </w:tcBorders>
            <w:tcMar>
              <w:top w:w="100" w:type="dxa"/>
              <w:left w:w="100" w:type="dxa"/>
              <w:bottom w:w="100" w:type="dxa"/>
              <w:right w:w="100" w:type="dxa"/>
            </w:tcMar>
          </w:tcPr>
          <w:p w14:paraId="4CCABAE7"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915" w:type="dxa"/>
            <w:tcBorders>
              <w:bottom w:val="single" w:sz="8" w:space="0" w:color="000000"/>
              <w:right w:val="single" w:sz="8" w:space="0" w:color="000000"/>
            </w:tcBorders>
            <w:tcMar>
              <w:top w:w="100" w:type="dxa"/>
              <w:left w:w="100" w:type="dxa"/>
              <w:bottom w:w="100" w:type="dxa"/>
              <w:right w:w="100" w:type="dxa"/>
            </w:tcMar>
          </w:tcPr>
          <w:p w14:paraId="18710018"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85" w:type="dxa"/>
            <w:tcBorders>
              <w:bottom w:val="single" w:sz="8" w:space="0" w:color="000000"/>
              <w:right w:val="single" w:sz="8" w:space="0" w:color="000000"/>
            </w:tcBorders>
            <w:tcMar>
              <w:top w:w="100" w:type="dxa"/>
              <w:left w:w="100" w:type="dxa"/>
              <w:bottom w:w="100" w:type="dxa"/>
              <w:right w:w="100" w:type="dxa"/>
            </w:tcMar>
          </w:tcPr>
          <w:p w14:paraId="421D59D5"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915" w:type="dxa"/>
            <w:tcBorders>
              <w:bottom w:val="single" w:sz="8" w:space="0" w:color="000000"/>
              <w:right w:val="single" w:sz="8" w:space="0" w:color="000000"/>
            </w:tcBorders>
            <w:tcMar>
              <w:top w:w="100" w:type="dxa"/>
              <w:left w:w="100" w:type="dxa"/>
              <w:bottom w:w="100" w:type="dxa"/>
              <w:right w:w="100" w:type="dxa"/>
            </w:tcMar>
          </w:tcPr>
          <w:p w14:paraId="7B0C144C"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1973923C"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25" w:type="dxa"/>
            <w:tcBorders>
              <w:bottom w:val="single" w:sz="8" w:space="0" w:color="000000"/>
              <w:right w:val="single" w:sz="8" w:space="0" w:color="000000"/>
            </w:tcBorders>
            <w:tcMar>
              <w:top w:w="100" w:type="dxa"/>
              <w:left w:w="100" w:type="dxa"/>
              <w:bottom w:w="100" w:type="dxa"/>
              <w:right w:w="100" w:type="dxa"/>
            </w:tcMar>
          </w:tcPr>
          <w:p w14:paraId="01BDCD8F"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69839E8B"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7CAF3CBE" w14:textId="77777777">
        <w:trPr>
          <w:trHeight w:val="63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9F1C72"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Pre- &amp; Post-Survey Creation</w:t>
            </w:r>
          </w:p>
        </w:tc>
        <w:tc>
          <w:tcPr>
            <w:tcW w:w="810" w:type="dxa"/>
            <w:tcBorders>
              <w:bottom w:val="single" w:sz="8" w:space="0" w:color="000000"/>
              <w:right w:val="single" w:sz="8" w:space="0" w:color="000000"/>
            </w:tcBorders>
            <w:tcMar>
              <w:top w:w="100" w:type="dxa"/>
              <w:left w:w="100" w:type="dxa"/>
              <w:bottom w:w="100" w:type="dxa"/>
              <w:right w:w="100" w:type="dxa"/>
            </w:tcMar>
          </w:tcPr>
          <w:p w14:paraId="53131B4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825" w:type="dxa"/>
            <w:tcBorders>
              <w:bottom w:val="single" w:sz="8" w:space="0" w:color="000000"/>
              <w:right w:val="single" w:sz="8" w:space="0" w:color="000000"/>
            </w:tcBorders>
            <w:tcMar>
              <w:top w:w="100" w:type="dxa"/>
              <w:left w:w="100" w:type="dxa"/>
              <w:bottom w:w="100" w:type="dxa"/>
              <w:right w:w="100" w:type="dxa"/>
            </w:tcMar>
          </w:tcPr>
          <w:p w14:paraId="1F095E4A"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4572EFE9"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656A8BD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4384B5C4"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53DEC2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439A819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196A78B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85" w:type="dxa"/>
            <w:tcBorders>
              <w:bottom w:val="single" w:sz="8" w:space="0" w:color="000000"/>
              <w:right w:val="single" w:sz="8" w:space="0" w:color="000000"/>
            </w:tcBorders>
            <w:tcMar>
              <w:top w:w="100" w:type="dxa"/>
              <w:left w:w="100" w:type="dxa"/>
              <w:bottom w:w="100" w:type="dxa"/>
              <w:right w:w="100" w:type="dxa"/>
            </w:tcMar>
          </w:tcPr>
          <w:p w14:paraId="24A6C04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2C2C3B6A"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37F02B7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13C186C0"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025B1E8A"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59785BB0" w14:textId="77777777">
        <w:trPr>
          <w:trHeight w:val="1593"/>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BA3019"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Pre- &amp; Post-Survey Distribution</w:t>
            </w:r>
          </w:p>
        </w:tc>
        <w:tc>
          <w:tcPr>
            <w:tcW w:w="810" w:type="dxa"/>
            <w:tcBorders>
              <w:bottom w:val="single" w:sz="8" w:space="0" w:color="000000"/>
              <w:right w:val="single" w:sz="8" w:space="0" w:color="000000"/>
            </w:tcBorders>
            <w:tcMar>
              <w:top w:w="100" w:type="dxa"/>
              <w:left w:w="100" w:type="dxa"/>
              <w:bottom w:w="100" w:type="dxa"/>
              <w:right w:w="100" w:type="dxa"/>
            </w:tcMar>
          </w:tcPr>
          <w:p w14:paraId="26D40F3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30588C8B"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501488FC"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3ED8193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034D365F"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442B7BA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5332B445"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5B3A914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 </w:t>
            </w:r>
          </w:p>
        </w:tc>
        <w:tc>
          <w:tcPr>
            <w:tcW w:w="885" w:type="dxa"/>
            <w:tcBorders>
              <w:bottom w:val="single" w:sz="8" w:space="0" w:color="000000"/>
              <w:right w:val="single" w:sz="8" w:space="0" w:color="000000"/>
            </w:tcBorders>
            <w:tcMar>
              <w:top w:w="100" w:type="dxa"/>
              <w:left w:w="100" w:type="dxa"/>
              <w:bottom w:w="100" w:type="dxa"/>
              <w:right w:w="100" w:type="dxa"/>
            </w:tcMar>
          </w:tcPr>
          <w:p w14:paraId="70E5602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2AA6E44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F905A79"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3FEBB643"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50BC0E2B"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46C7C726" w14:textId="77777777">
        <w:trPr>
          <w:trHeight w:val="84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62677E"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Creation of Lumis Module</w:t>
            </w:r>
          </w:p>
        </w:tc>
        <w:tc>
          <w:tcPr>
            <w:tcW w:w="810" w:type="dxa"/>
            <w:tcBorders>
              <w:bottom w:val="single" w:sz="8" w:space="0" w:color="000000"/>
              <w:right w:val="single" w:sz="8" w:space="0" w:color="000000"/>
            </w:tcBorders>
            <w:tcMar>
              <w:top w:w="100" w:type="dxa"/>
              <w:left w:w="100" w:type="dxa"/>
              <w:bottom w:w="100" w:type="dxa"/>
              <w:right w:w="100" w:type="dxa"/>
            </w:tcMar>
          </w:tcPr>
          <w:p w14:paraId="4F2956F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825" w:type="dxa"/>
            <w:tcBorders>
              <w:bottom w:val="single" w:sz="8" w:space="0" w:color="000000"/>
              <w:right w:val="single" w:sz="8" w:space="0" w:color="000000"/>
            </w:tcBorders>
            <w:tcMar>
              <w:top w:w="100" w:type="dxa"/>
              <w:left w:w="100" w:type="dxa"/>
              <w:bottom w:w="100" w:type="dxa"/>
              <w:right w:w="100" w:type="dxa"/>
            </w:tcMar>
          </w:tcPr>
          <w:p w14:paraId="7FF9334A"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163192A0"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06D2B79B"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CDA609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40B966CA"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23A9219C"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2A7B296D"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85" w:type="dxa"/>
            <w:tcBorders>
              <w:bottom w:val="single" w:sz="8" w:space="0" w:color="000000"/>
              <w:right w:val="single" w:sz="8" w:space="0" w:color="000000"/>
            </w:tcBorders>
            <w:tcMar>
              <w:top w:w="100" w:type="dxa"/>
              <w:left w:w="100" w:type="dxa"/>
              <w:bottom w:w="100" w:type="dxa"/>
              <w:right w:w="100" w:type="dxa"/>
            </w:tcMar>
          </w:tcPr>
          <w:p w14:paraId="51F10693"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26961649"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66E1C309"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7E042C46"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01236AE0"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34C55D9E" w14:textId="77777777">
        <w:trPr>
          <w:trHeight w:val="51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2FEA59" w14:textId="77777777" w:rsidR="00D401A7" w:rsidRDefault="00000000">
            <w:pPr>
              <w:spacing w:line="523" w:lineRule="auto"/>
              <w:ind w:left="140" w:right="14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Implementation</w:t>
            </w:r>
          </w:p>
        </w:tc>
        <w:tc>
          <w:tcPr>
            <w:tcW w:w="810" w:type="dxa"/>
            <w:tcBorders>
              <w:bottom w:val="single" w:sz="8" w:space="0" w:color="000000"/>
              <w:right w:val="single" w:sz="8" w:space="0" w:color="000000"/>
            </w:tcBorders>
            <w:tcMar>
              <w:top w:w="100" w:type="dxa"/>
              <w:left w:w="100" w:type="dxa"/>
              <w:bottom w:w="100" w:type="dxa"/>
              <w:right w:w="100" w:type="dxa"/>
            </w:tcMar>
          </w:tcPr>
          <w:p w14:paraId="3E3E531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78057B07"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054DC32B"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1344F369"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73AABC1"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00DBF63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11805892"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03D2974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X</w:t>
            </w:r>
          </w:p>
        </w:tc>
        <w:tc>
          <w:tcPr>
            <w:tcW w:w="885" w:type="dxa"/>
            <w:tcBorders>
              <w:bottom w:val="single" w:sz="8" w:space="0" w:color="000000"/>
              <w:right w:val="single" w:sz="8" w:space="0" w:color="000000"/>
            </w:tcBorders>
            <w:tcMar>
              <w:top w:w="100" w:type="dxa"/>
              <w:left w:w="100" w:type="dxa"/>
              <w:bottom w:w="100" w:type="dxa"/>
              <w:right w:w="100" w:type="dxa"/>
            </w:tcMar>
          </w:tcPr>
          <w:p w14:paraId="41036E8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3BB320EB"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6202B5A1"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1CFECEA9"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764AF5D2"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050328F9" w14:textId="77777777">
        <w:trPr>
          <w:trHeight w:val="63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A558A2"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Outcomes</w:t>
            </w:r>
          </w:p>
        </w:tc>
        <w:tc>
          <w:tcPr>
            <w:tcW w:w="810" w:type="dxa"/>
            <w:tcBorders>
              <w:bottom w:val="single" w:sz="8" w:space="0" w:color="000000"/>
              <w:right w:val="single" w:sz="8" w:space="0" w:color="000000"/>
            </w:tcBorders>
            <w:tcMar>
              <w:top w:w="100" w:type="dxa"/>
              <w:left w:w="100" w:type="dxa"/>
              <w:bottom w:w="100" w:type="dxa"/>
              <w:right w:w="100" w:type="dxa"/>
            </w:tcMar>
          </w:tcPr>
          <w:p w14:paraId="6C45F75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532EE986"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49C18B93"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211474B3"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28CDB8E4"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773ACFB4"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263F142B"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5CF57F20"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85" w:type="dxa"/>
            <w:tcBorders>
              <w:bottom w:val="single" w:sz="8" w:space="0" w:color="000000"/>
              <w:right w:val="single" w:sz="8" w:space="0" w:color="000000"/>
            </w:tcBorders>
            <w:tcMar>
              <w:top w:w="100" w:type="dxa"/>
              <w:left w:w="100" w:type="dxa"/>
              <w:bottom w:w="100" w:type="dxa"/>
              <w:right w:w="100" w:type="dxa"/>
            </w:tcMar>
          </w:tcPr>
          <w:p w14:paraId="511ACFBB"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0CA0225C"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 </w:t>
            </w:r>
          </w:p>
        </w:tc>
        <w:tc>
          <w:tcPr>
            <w:tcW w:w="810" w:type="dxa"/>
            <w:tcBorders>
              <w:bottom w:val="single" w:sz="8" w:space="0" w:color="000000"/>
              <w:right w:val="single" w:sz="8" w:space="0" w:color="000000"/>
            </w:tcBorders>
            <w:tcMar>
              <w:top w:w="100" w:type="dxa"/>
              <w:left w:w="100" w:type="dxa"/>
              <w:bottom w:w="100" w:type="dxa"/>
              <w:right w:w="100" w:type="dxa"/>
            </w:tcMar>
          </w:tcPr>
          <w:p w14:paraId="7652ECB3"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664F8197"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132B73B9" w14:textId="77777777" w:rsidR="00D401A7" w:rsidRDefault="00D401A7">
            <w:pPr>
              <w:spacing w:line="523" w:lineRule="auto"/>
              <w:ind w:left="140" w:right="140"/>
              <w:jc w:val="center"/>
              <w:rPr>
                <w:rFonts w:ascii="Times New Roman" w:eastAsia="Times New Roman" w:hAnsi="Times New Roman" w:cs="Times New Roman"/>
                <w:b/>
                <w:sz w:val="24"/>
                <w:szCs w:val="24"/>
              </w:rPr>
            </w:pPr>
          </w:p>
        </w:tc>
      </w:tr>
      <w:tr w:rsidR="00D401A7" w14:paraId="5643C2AD" w14:textId="77777777">
        <w:trPr>
          <w:trHeight w:val="630"/>
        </w:trPr>
        <w:tc>
          <w:tcPr>
            <w:tcW w:w="16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54784BD" w14:textId="77777777" w:rsidR="00D401A7" w:rsidRDefault="00D401A7">
            <w:pPr>
              <w:spacing w:line="523" w:lineRule="auto"/>
              <w:ind w:left="140" w:right="140"/>
              <w:jc w:val="center"/>
              <w:rPr>
                <w:rFonts w:ascii="Times New Roman" w:eastAsia="Times New Roman" w:hAnsi="Times New Roman" w:cs="Times New Roman"/>
                <w:sz w:val="20"/>
                <w:szCs w:val="20"/>
              </w:rPr>
            </w:pPr>
          </w:p>
          <w:p w14:paraId="03BC2DEA" w14:textId="77777777" w:rsidR="00D401A7" w:rsidRDefault="00000000">
            <w:pPr>
              <w:spacing w:line="523"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Dissemination</w:t>
            </w:r>
          </w:p>
        </w:tc>
        <w:tc>
          <w:tcPr>
            <w:tcW w:w="810" w:type="dxa"/>
            <w:tcBorders>
              <w:bottom w:val="single" w:sz="8" w:space="0" w:color="000000"/>
              <w:right w:val="single" w:sz="8" w:space="0" w:color="000000"/>
            </w:tcBorders>
            <w:tcMar>
              <w:top w:w="100" w:type="dxa"/>
              <w:left w:w="100" w:type="dxa"/>
              <w:bottom w:w="100" w:type="dxa"/>
              <w:right w:w="100" w:type="dxa"/>
            </w:tcMar>
          </w:tcPr>
          <w:p w14:paraId="653A2905"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03449BCE"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7A19F264"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074EE40"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30E4EAD6"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911E88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1F13A77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915" w:type="dxa"/>
            <w:tcBorders>
              <w:bottom w:val="single" w:sz="8" w:space="0" w:color="000000"/>
              <w:right w:val="single" w:sz="8" w:space="0" w:color="000000"/>
            </w:tcBorders>
            <w:tcMar>
              <w:top w:w="100" w:type="dxa"/>
              <w:left w:w="100" w:type="dxa"/>
              <w:bottom w:w="100" w:type="dxa"/>
              <w:right w:w="100" w:type="dxa"/>
            </w:tcMar>
          </w:tcPr>
          <w:p w14:paraId="500C6130"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85" w:type="dxa"/>
            <w:tcBorders>
              <w:bottom w:val="single" w:sz="8" w:space="0" w:color="000000"/>
              <w:right w:val="single" w:sz="8" w:space="0" w:color="000000"/>
            </w:tcBorders>
            <w:tcMar>
              <w:top w:w="100" w:type="dxa"/>
              <w:left w:w="100" w:type="dxa"/>
              <w:bottom w:w="100" w:type="dxa"/>
              <w:right w:w="100" w:type="dxa"/>
            </w:tcMar>
          </w:tcPr>
          <w:p w14:paraId="05F949EE" w14:textId="77777777" w:rsidR="00D401A7" w:rsidRDefault="00D401A7">
            <w:pPr>
              <w:spacing w:line="523" w:lineRule="auto"/>
              <w:ind w:left="140" w:right="140"/>
              <w:jc w:val="center"/>
              <w:rPr>
                <w:rFonts w:ascii="Times New Roman" w:eastAsia="Times New Roman" w:hAnsi="Times New Roman" w:cs="Times New Roman"/>
                <w:b/>
                <w:sz w:val="16"/>
                <w:szCs w:val="16"/>
              </w:rPr>
            </w:pPr>
          </w:p>
        </w:tc>
        <w:tc>
          <w:tcPr>
            <w:tcW w:w="915" w:type="dxa"/>
            <w:tcBorders>
              <w:bottom w:val="single" w:sz="8" w:space="0" w:color="000000"/>
              <w:right w:val="single" w:sz="8" w:space="0" w:color="000000"/>
            </w:tcBorders>
            <w:tcMar>
              <w:top w:w="100" w:type="dxa"/>
              <w:left w:w="100" w:type="dxa"/>
              <w:bottom w:w="100" w:type="dxa"/>
              <w:right w:w="100" w:type="dxa"/>
            </w:tcMar>
          </w:tcPr>
          <w:p w14:paraId="4795DA9F"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10" w:type="dxa"/>
            <w:tcBorders>
              <w:bottom w:val="single" w:sz="8" w:space="0" w:color="000000"/>
              <w:right w:val="single" w:sz="8" w:space="0" w:color="000000"/>
            </w:tcBorders>
            <w:tcMar>
              <w:top w:w="100" w:type="dxa"/>
              <w:left w:w="100" w:type="dxa"/>
              <w:bottom w:w="100" w:type="dxa"/>
              <w:right w:w="100" w:type="dxa"/>
            </w:tcMar>
          </w:tcPr>
          <w:p w14:paraId="5AF0D137"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825" w:type="dxa"/>
            <w:tcBorders>
              <w:bottom w:val="single" w:sz="8" w:space="0" w:color="000000"/>
              <w:right w:val="single" w:sz="8" w:space="0" w:color="000000"/>
            </w:tcBorders>
            <w:tcMar>
              <w:top w:w="100" w:type="dxa"/>
              <w:left w:w="100" w:type="dxa"/>
              <w:bottom w:w="100" w:type="dxa"/>
              <w:right w:w="100" w:type="dxa"/>
            </w:tcMar>
          </w:tcPr>
          <w:p w14:paraId="63970172" w14:textId="77777777" w:rsidR="00D401A7" w:rsidRDefault="00D401A7">
            <w:pPr>
              <w:spacing w:line="523" w:lineRule="auto"/>
              <w:ind w:left="140" w:right="140"/>
              <w:jc w:val="center"/>
              <w:rPr>
                <w:rFonts w:ascii="Times New Roman" w:eastAsia="Times New Roman" w:hAnsi="Times New Roman" w:cs="Times New Roman"/>
                <w:b/>
                <w:sz w:val="24"/>
                <w:szCs w:val="24"/>
              </w:rPr>
            </w:pPr>
          </w:p>
        </w:tc>
        <w:tc>
          <w:tcPr>
            <w:tcW w:w="810" w:type="dxa"/>
            <w:tcBorders>
              <w:bottom w:val="single" w:sz="8" w:space="0" w:color="000000"/>
              <w:right w:val="single" w:sz="8" w:space="0" w:color="000000"/>
            </w:tcBorders>
            <w:tcMar>
              <w:top w:w="100" w:type="dxa"/>
              <w:left w:w="100" w:type="dxa"/>
              <w:bottom w:w="100" w:type="dxa"/>
              <w:right w:w="100" w:type="dxa"/>
            </w:tcMar>
          </w:tcPr>
          <w:p w14:paraId="331F63C8" w14:textId="77777777" w:rsidR="00D401A7" w:rsidRDefault="00000000">
            <w:pPr>
              <w:spacing w:line="523"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bl>
    <w:p w14:paraId="00904A95" w14:textId="77777777" w:rsidR="00D401A7" w:rsidRDefault="00D401A7">
      <w:pPr>
        <w:spacing w:line="523" w:lineRule="auto"/>
        <w:rPr>
          <w:rFonts w:ascii="Times New Roman" w:eastAsia="Times New Roman" w:hAnsi="Times New Roman" w:cs="Times New Roman"/>
          <w:b/>
          <w:sz w:val="24"/>
          <w:szCs w:val="24"/>
        </w:rPr>
        <w:sectPr w:rsidR="00D401A7">
          <w:pgSz w:w="15840" w:h="12240" w:orient="landscape"/>
          <w:pgMar w:top="1440" w:right="1440" w:bottom="1440" w:left="1440" w:header="720" w:footer="720" w:gutter="0"/>
          <w:cols w:space="720"/>
        </w:sectPr>
      </w:pPr>
    </w:p>
    <w:p w14:paraId="3A89E08A" w14:textId="77777777" w:rsidR="00D401A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Appendix I:</w:t>
      </w:r>
      <w:r>
        <w:rPr>
          <w:rFonts w:ascii="Times New Roman" w:eastAsia="Times New Roman" w:hAnsi="Times New Roman" w:cs="Times New Roman"/>
          <w:sz w:val="24"/>
          <w:szCs w:val="24"/>
        </w:rPr>
        <w:t xml:space="preserve"> Data Graphs</w:t>
      </w:r>
    </w:p>
    <w:p w14:paraId="5677E0A1"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I1</w:t>
      </w:r>
    </w:p>
    <w:p w14:paraId="4FF16544"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Pre- and Post-Educational Mean Composite Confidence Scores</w:t>
      </w:r>
    </w:p>
    <w:p w14:paraId="7AC6C74D"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647AB867" wp14:editId="53014299">
            <wp:extent cx="4748213" cy="2823056"/>
            <wp:effectExtent l="0" t="0" r="0" b="0"/>
            <wp:docPr id="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3"/>
                    <a:srcRect/>
                    <a:stretch>
                      <a:fillRect/>
                    </a:stretch>
                  </pic:blipFill>
                  <pic:spPr>
                    <a:xfrm>
                      <a:off x="0" y="0"/>
                      <a:ext cx="4748213" cy="2823056"/>
                    </a:xfrm>
                    <a:prstGeom prst="rect">
                      <a:avLst/>
                    </a:prstGeom>
                    <a:ln/>
                  </pic:spPr>
                </pic:pic>
              </a:graphicData>
            </a:graphic>
          </wp:inline>
        </w:drawing>
      </w:r>
    </w:p>
    <w:p w14:paraId="36D8E0DD"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I2</w:t>
      </w:r>
    </w:p>
    <w:p w14:paraId="39375CEC" w14:textId="77777777" w:rsidR="00D401A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Pre- and Post-Educational Mean Composite Knowledge Scores</w:t>
      </w:r>
    </w:p>
    <w:p w14:paraId="1BF48D06" w14:textId="77777777" w:rsidR="00D401A7"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264D918" wp14:editId="21E9750B">
            <wp:extent cx="4927164" cy="2932361"/>
            <wp:effectExtent l="0" t="0" r="0" b="0"/>
            <wp:docPr id="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54"/>
                    <a:srcRect/>
                    <a:stretch>
                      <a:fillRect/>
                    </a:stretch>
                  </pic:blipFill>
                  <pic:spPr>
                    <a:xfrm>
                      <a:off x="0" y="0"/>
                      <a:ext cx="4927164" cy="2932361"/>
                    </a:xfrm>
                    <a:prstGeom prst="rect">
                      <a:avLst/>
                    </a:prstGeom>
                    <a:ln/>
                  </pic:spPr>
                </pic:pic>
              </a:graphicData>
            </a:graphic>
          </wp:inline>
        </w:drawing>
      </w:r>
    </w:p>
    <w:p w14:paraId="0FD2D701" w14:textId="77777777" w:rsidR="00D401A7" w:rsidRDefault="00D401A7">
      <w:pPr>
        <w:spacing w:line="480" w:lineRule="auto"/>
        <w:rPr>
          <w:rFonts w:ascii="Times New Roman" w:eastAsia="Times New Roman" w:hAnsi="Times New Roman" w:cs="Times New Roman"/>
          <w:sz w:val="24"/>
          <w:szCs w:val="24"/>
        </w:rPr>
      </w:pPr>
    </w:p>
    <w:sectPr w:rsidR="00D401A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E4659" w14:textId="77777777" w:rsidR="009013EA" w:rsidRDefault="009013EA">
      <w:pPr>
        <w:spacing w:line="240" w:lineRule="auto"/>
      </w:pPr>
      <w:r>
        <w:separator/>
      </w:r>
    </w:p>
  </w:endnote>
  <w:endnote w:type="continuationSeparator" w:id="0">
    <w:p w14:paraId="0F8C28C0" w14:textId="77777777" w:rsidR="009013EA" w:rsidRDefault="00901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5DD9" w14:textId="77777777" w:rsidR="009013EA" w:rsidRDefault="009013EA">
      <w:pPr>
        <w:spacing w:line="240" w:lineRule="auto"/>
      </w:pPr>
      <w:r>
        <w:separator/>
      </w:r>
    </w:p>
  </w:footnote>
  <w:footnote w:type="continuationSeparator" w:id="0">
    <w:p w14:paraId="2C83A92E" w14:textId="77777777" w:rsidR="009013EA" w:rsidRDefault="009013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CDAC" w14:textId="77777777" w:rsidR="00D401A7"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49E052B" w14:textId="77777777" w:rsidR="00D401A7" w:rsidRDefault="00D401A7">
    <w:pPr>
      <w:pBdr>
        <w:top w:val="nil"/>
        <w:left w:val="nil"/>
        <w:bottom w:val="nil"/>
        <w:right w:val="nil"/>
        <w:between w:val="nil"/>
      </w:pBdr>
      <w:tabs>
        <w:tab w:val="center" w:pos="4680"/>
        <w:tab w:val="right" w:pos="9360"/>
      </w:tabs>
      <w:spacing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7173" w14:textId="1BEDB062" w:rsidR="00D401A7"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B79B3">
      <w:rPr>
        <w:noProof/>
        <w:color w:val="000000"/>
      </w:rPr>
      <w:t>2</w:t>
    </w:r>
    <w:r>
      <w:rPr>
        <w:color w:val="000000"/>
      </w:rPr>
      <w:fldChar w:fldCharType="end"/>
    </w:r>
  </w:p>
  <w:p w14:paraId="5D454BAD" w14:textId="77777777" w:rsidR="00D401A7" w:rsidRDefault="00D401A7">
    <w:pPr>
      <w:pBdr>
        <w:top w:val="nil"/>
        <w:left w:val="nil"/>
        <w:bottom w:val="nil"/>
        <w:right w:val="nil"/>
        <w:between w:val="nil"/>
      </w:pBdr>
      <w:tabs>
        <w:tab w:val="center" w:pos="4680"/>
        <w:tab w:val="right" w:pos="9360"/>
      </w:tabs>
      <w:spacing w:line="240" w:lineRule="auto"/>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ECE3" w14:textId="77777777" w:rsidR="00D401A7"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B79B3">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E54E7"/>
    <w:multiLevelType w:val="multilevel"/>
    <w:tmpl w:val="BBBEE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C14645C"/>
    <w:multiLevelType w:val="multilevel"/>
    <w:tmpl w:val="E5DA9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F6F26F6"/>
    <w:multiLevelType w:val="multilevel"/>
    <w:tmpl w:val="E88CF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DE53C6"/>
    <w:multiLevelType w:val="multilevel"/>
    <w:tmpl w:val="1ACC7E9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32B2721"/>
    <w:multiLevelType w:val="multilevel"/>
    <w:tmpl w:val="B4082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8240771"/>
    <w:multiLevelType w:val="multilevel"/>
    <w:tmpl w:val="4A5071D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0F54078"/>
    <w:multiLevelType w:val="multilevel"/>
    <w:tmpl w:val="15221B7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1F87D77"/>
    <w:multiLevelType w:val="multilevel"/>
    <w:tmpl w:val="3176C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58536CE"/>
    <w:multiLevelType w:val="multilevel"/>
    <w:tmpl w:val="8E06D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F855C32"/>
    <w:multiLevelType w:val="multilevel"/>
    <w:tmpl w:val="7ADEFC7E"/>
    <w:lvl w:ilvl="0">
      <w:start w:val="1"/>
      <w:numFmt w:val="decimal"/>
      <w:lvlText w:val="%1."/>
      <w:lvlJc w:val="left"/>
      <w:pPr>
        <w:ind w:left="2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07086706">
    <w:abstractNumId w:val="6"/>
  </w:num>
  <w:num w:numId="2" w16cid:durableId="344475420">
    <w:abstractNumId w:val="4"/>
  </w:num>
  <w:num w:numId="3" w16cid:durableId="493884790">
    <w:abstractNumId w:val="2"/>
  </w:num>
  <w:num w:numId="4" w16cid:durableId="2140176363">
    <w:abstractNumId w:val="5"/>
  </w:num>
  <w:num w:numId="5" w16cid:durableId="1754815806">
    <w:abstractNumId w:val="3"/>
  </w:num>
  <w:num w:numId="6" w16cid:durableId="658774933">
    <w:abstractNumId w:val="7"/>
  </w:num>
  <w:num w:numId="7" w16cid:durableId="1294406095">
    <w:abstractNumId w:val="8"/>
  </w:num>
  <w:num w:numId="8" w16cid:durableId="510536213">
    <w:abstractNumId w:val="0"/>
  </w:num>
  <w:num w:numId="9" w16cid:durableId="1216625379">
    <w:abstractNumId w:val="1"/>
  </w:num>
  <w:num w:numId="10" w16cid:durableId="18758516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A7"/>
    <w:rsid w:val="001F0C7C"/>
    <w:rsid w:val="002800DC"/>
    <w:rsid w:val="004F1425"/>
    <w:rsid w:val="005843E8"/>
    <w:rsid w:val="0088641A"/>
    <w:rsid w:val="009013EA"/>
    <w:rsid w:val="00AB79B3"/>
    <w:rsid w:val="00D401A7"/>
    <w:rsid w:val="00FC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9B613A"/>
  <w15:docId w15:val="{88BFC12D-4E36-7040-9369-8F56213C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377C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7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B5285"/>
    <w:rPr>
      <w:b/>
      <w:bCs/>
    </w:rPr>
  </w:style>
  <w:style w:type="character" w:customStyle="1" w:styleId="CommentSubjectChar">
    <w:name w:val="Comment Subject Char"/>
    <w:basedOn w:val="CommentTextChar"/>
    <w:link w:val="CommentSubject"/>
    <w:uiPriority w:val="99"/>
    <w:semiHidden/>
    <w:rsid w:val="00DB5285"/>
    <w:rPr>
      <w:b/>
      <w:bCs/>
      <w:sz w:val="20"/>
      <w:szCs w:val="20"/>
    </w:rPr>
  </w:style>
  <w:style w:type="paragraph" w:styleId="NormalWeb">
    <w:name w:val="Normal (Web)"/>
    <w:basedOn w:val="Normal"/>
    <w:uiPriority w:val="99"/>
    <w:unhideWhenUsed/>
    <w:rsid w:val="00DB52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B5285"/>
    <w:rPr>
      <w:b/>
      <w:bCs/>
    </w:rPr>
  </w:style>
  <w:style w:type="character" w:styleId="Hyperlink">
    <w:name w:val="Hyperlink"/>
    <w:basedOn w:val="DefaultParagraphFont"/>
    <w:uiPriority w:val="99"/>
    <w:unhideWhenUsed/>
    <w:rsid w:val="00E14416"/>
    <w:rPr>
      <w:color w:val="0000FF" w:themeColor="hyperlink"/>
      <w:u w:val="single"/>
    </w:rPr>
  </w:style>
  <w:style w:type="character" w:styleId="UnresolvedMention">
    <w:name w:val="Unresolved Mention"/>
    <w:basedOn w:val="DefaultParagraphFont"/>
    <w:uiPriority w:val="99"/>
    <w:semiHidden/>
    <w:unhideWhenUsed/>
    <w:rsid w:val="00E14416"/>
    <w:rPr>
      <w:color w:val="605E5C"/>
      <w:shd w:val="clear" w:color="auto" w:fill="E1DFDD"/>
    </w:rPr>
  </w:style>
  <w:style w:type="paragraph" w:customStyle="1" w:styleId="APAReference">
    <w:name w:val="APA Reference"/>
    <w:basedOn w:val="Normal"/>
    <w:qFormat/>
    <w:rsid w:val="00653E93"/>
    <w:pPr>
      <w:spacing w:line="480" w:lineRule="auto"/>
      <w:ind w:left="720" w:hanging="72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53E93"/>
    <w:rPr>
      <w:i/>
      <w:iCs/>
    </w:r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0564C1"/>
    <w:pPr>
      <w:spacing w:line="240" w:lineRule="auto"/>
    </w:pPr>
  </w:style>
  <w:style w:type="paragraph" w:styleId="ListParagraph">
    <w:name w:val="List Paragraph"/>
    <w:basedOn w:val="Normal"/>
    <w:uiPriority w:val="34"/>
    <w:qFormat/>
    <w:rsid w:val="005E5185"/>
    <w:pPr>
      <w:spacing w:line="240" w:lineRule="auto"/>
      <w:ind w:left="720"/>
      <w:contextualSpacing/>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713ED0"/>
  </w:style>
  <w:style w:type="paragraph" w:styleId="Header">
    <w:name w:val="header"/>
    <w:basedOn w:val="Normal"/>
    <w:link w:val="HeaderChar"/>
    <w:uiPriority w:val="99"/>
    <w:unhideWhenUsed/>
    <w:rsid w:val="00713ED0"/>
    <w:pPr>
      <w:tabs>
        <w:tab w:val="center" w:pos="4680"/>
        <w:tab w:val="right" w:pos="9360"/>
      </w:tabs>
      <w:spacing w:line="240" w:lineRule="auto"/>
    </w:pPr>
  </w:style>
  <w:style w:type="character" w:customStyle="1" w:styleId="HeaderChar">
    <w:name w:val="Header Char"/>
    <w:basedOn w:val="DefaultParagraphFont"/>
    <w:link w:val="Header"/>
    <w:uiPriority w:val="99"/>
    <w:rsid w:val="00713ED0"/>
  </w:style>
  <w:style w:type="paragraph" w:styleId="Footer">
    <w:name w:val="footer"/>
    <w:basedOn w:val="Normal"/>
    <w:link w:val="FooterChar"/>
    <w:uiPriority w:val="99"/>
    <w:unhideWhenUsed/>
    <w:rsid w:val="00713ED0"/>
    <w:pPr>
      <w:tabs>
        <w:tab w:val="center" w:pos="4680"/>
        <w:tab w:val="right" w:pos="9360"/>
      </w:tabs>
      <w:spacing w:line="240" w:lineRule="auto"/>
    </w:pPr>
  </w:style>
  <w:style w:type="character" w:customStyle="1" w:styleId="FooterChar">
    <w:name w:val="Footer Char"/>
    <w:basedOn w:val="DefaultParagraphFont"/>
    <w:link w:val="Footer"/>
    <w:uiPriority w:val="99"/>
    <w:rsid w:val="00713ED0"/>
  </w:style>
  <w:style w:type="character" w:styleId="PageNumber">
    <w:name w:val="page number"/>
    <w:basedOn w:val="DefaultParagraphFont"/>
    <w:uiPriority w:val="99"/>
    <w:semiHidden/>
    <w:unhideWhenUsed/>
    <w:rsid w:val="0001391F"/>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line="240" w:lineRule="auto"/>
    </w:pPr>
    <w:tblPr>
      <w:tblStyleRowBandSize w:val="1"/>
      <w:tblStyleColBandSize w:val="1"/>
      <w:tblCellMar>
        <w:top w:w="100" w:type="dxa"/>
        <w:left w:w="100" w:type="dxa"/>
        <w:bottom w:w="100" w:type="dxa"/>
        <w:right w:w="100" w:type="dxa"/>
      </w:tblCellMar>
    </w:tblPr>
  </w:style>
  <w:style w:type="character" w:customStyle="1" w:styleId="apple-converted-space">
    <w:name w:val="apple-converted-space"/>
    <w:basedOn w:val="DefaultParagraphFont"/>
    <w:rsid w:val="00EC6900"/>
  </w:style>
  <w:style w:type="table" w:customStyle="1" w:styleId="a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c">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097/cnq.0000000000000354" TargetMode="External"/><Relationship Id="rId18" Type="http://schemas.openxmlformats.org/officeDocument/2006/relationships/hyperlink" Target="https://doi.org/10.1097/00024776-201509000-00004" TargetMode="External"/><Relationship Id="rId26" Type="http://schemas.openxmlformats.org/officeDocument/2006/relationships/hyperlink" Target="https://doi.org/10.2147/ceor.s304037" TargetMode="External"/><Relationship Id="rId39" Type="http://schemas.openxmlformats.org/officeDocument/2006/relationships/hyperlink" Target="https://doi.org/10.3233/nre-2003-18403" TargetMode="External"/><Relationship Id="rId21" Type="http://schemas.openxmlformats.org/officeDocument/2006/relationships/hyperlink" Target="https://doi.org/10.1016/j.surg.2021.01.051" TargetMode="External"/><Relationship Id="rId34" Type="http://schemas.openxmlformats.org/officeDocument/2006/relationships/hyperlink" Target="https://doi.org/10.1038/s41746-020-0284-9" TargetMode="External"/><Relationship Id="rId42" Type="http://schemas.openxmlformats.org/officeDocument/2006/relationships/header" Target="header2.xml"/><Relationship Id="rId47" Type="http://schemas.openxmlformats.org/officeDocument/2006/relationships/hyperlink" Target="https://doi.org/10.1097/00024776-201509000-00004" TargetMode="External"/><Relationship Id="rId50" Type="http://schemas.openxmlformats.org/officeDocument/2006/relationships/image" Target="media/image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116/ijme.5e01.eb1a" TargetMode="External"/><Relationship Id="rId29" Type="http://schemas.openxmlformats.org/officeDocument/2006/relationships/hyperlink" Target="https://doi.org/10.1186/s41077-020-00135-z" TargetMode="External"/><Relationship Id="rId11" Type="http://schemas.openxmlformats.org/officeDocument/2006/relationships/hyperlink" Target="https://doi.org/10.3928/00220124-20210913-09" TargetMode="External"/><Relationship Id="rId24" Type="http://schemas.openxmlformats.org/officeDocument/2006/relationships/hyperlink" Target="https://doi.org/10.5505/pajes.2020.38228" TargetMode="External"/><Relationship Id="rId32" Type="http://schemas.openxmlformats.org/officeDocument/2006/relationships/hyperlink" Target="https://doi.org/10.1016/j.joms.2017.10.002" TargetMode="External"/><Relationship Id="rId37" Type="http://schemas.openxmlformats.org/officeDocument/2006/relationships/hyperlink" Target="https://doi.org/10.1007/s11548-021-02365-6" TargetMode="External"/><Relationship Id="rId40" Type="http://schemas.openxmlformats.org/officeDocument/2006/relationships/hyperlink" Target="https://doi.org/10.30476/JAMP.2019.74895" TargetMode="External"/><Relationship Id="rId45" Type="http://schemas.openxmlformats.org/officeDocument/2006/relationships/image" Target="media/image1.png"/><Relationship Id="rId53"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hyperlink" Target="https://doi.org/10.1093/bja/aer160" TargetMode="External"/><Relationship Id="rId19" Type="http://schemas.openxmlformats.org/officeDocument/2006/relationships/hyperlink" Target="https://doi.org/10.1097/ALN.0000000000002815" TargetMode="External"/><Relationship Id="rId31" Type="http://schemas.openxmlformats.org/officeDocument/2006/relationships/hyperlink" Target="https://doi.org/10.1016/j.ecns.2018.10.003" TargetMode="External"/><Relationship Id="rId44" Type="http://schemas.openxmlformats.org/officeDocument/2006/relationships/hyperlink" Target="https://doi.org/10.3390/informatics7040040" TargetMode="External"/><Relationship Id="rId52"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doi.org/10.1016/j.ultrasmedbio.2019.04.026" TargetMode="External"/><Relationship Id="rId14" Type="http://schemas.openxmlformats.org/officeDocument/2006/relationships/hyperlink" Target="https://doi.org/10.1093/bja/aer058" TargetMode="External"/><Relationship Id="rId22" Type="http://schemas.openxmlformats.org/officeDocument/2006/relationships/hyperlink" Target="https://doi.org/10.1016/j.nedt.2021.104955" TargetMode="External"/><Relationship Id="rId27" Type="http://schemas.openxmlformats.org/officeDocument/2006/relationships/hyperlink" Target="https://doi.org/10.15766/mep_2374-8265.10578" TargetMode="External"/><Relationship Id="rId30" Type="http://schemas.openxmlformats.org/officeDocument/2006/relationships/hyperlink" Target="https://doi.org/10.1016/j.tacc.2018.06.001" TargetMode="External"/><Relationship Id="rId35" Type="http://schemas.openxmlformats.org/officeDocument/2006/relationships/hyperlink" Target="https://doi.org/10.1371/journal.pone.0249070" TargetMode="External"/><Relationship Id="rId43" Type="http://schemas.openxmlformats.org/officeDocument/2006/relationships/header" Target="header3.xml"/><Relationship Id="rId48" Type="http://schemas.openxmlformats.org/officeDocument/2006/relationships/hyperlink" Target="mailto:bpytlak@oakland.edu" TargetMode="External"/><Relationship Id="rId56" Type="http://schemas.openxmlformats.org/officeDocument/2006/relationships/theme" Target="theme/theme1.xml"/><Relationship Id="rId8" Type="http://schemas.openxmlformats.org/officeDocument/2006/relationships/hyperlink" Target="https://doi.org/10.1016/j.ecns.2017.09.008" TargetMode="External"/><Relationship Id="rId51"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s://doi.org/10.1097/nnd.0000000000000764" TargetMode="External"/><Relationship Id="rId17" Type="http://schemas.openxmlformats.org/officeDocument/2006/relationships/hyperlink" Target="https://doi.org/10.1007/978-3-030-06070-1" TargetMode="External"/><Relationship Id="rId25" Type="http://schemas.openxmlformats.org/officeDocument/2006/relationships/hyperlink" Target="https://doi.org/10.46374/volxxii_issue4_schiavi" TargetMode="External"/><Relationship Id="rId33" Type="http://schemas.openxmlformats.org/officeDocument/2006/relationships/hyperlink" Target="https://doi.org/10.18053/jctres.07.202101.008" TargetMode="External"/><Relationship Id="rId38" Type="http://schemas.openxmlformats.org/officeDocument/2006/relationships/hyperlink" Target="https://doi.org/10.15766/mep_2374-8265.10886" TargetMode="External"/><Relationship Id="rId46" Type="http://schemas.openxmlformats.org/officeDocument/2006/relationships/image" Target="media/image2.png"/><Relationship Id="rId20" Type="http://schemas.openxmlformats.org/officeDocument/2006/relationships/hyperlink" Target="https://guides.upstate.edu/c.php?g=1023176&amp;p=7411252" TargetMode="External"/><Relationship Id="rId41" Type="http://schemas.openxmlformats.org/officeDocument/2006/relationships/header" Target="header1.xml"/><Relationship Id="rId54"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ecns.2020.06.006" TargetMode="External"/><Relationship Id="rId23" Type="http://schemas.openxmlformats.org/officeDocument/2006/relationships/hyperlink" Target="https://doi.org/10.7205/milmed-d-16-00030" TargetMode="External"/><Relationship Id="rId28" Type="http://schemas.openxmlformats.org/officeDocument/2006/relationships/hyperlink" Target="https://doi.org/10.1186/s40463-019-0332-0" TargetMode="External"/><Relationship Id="rId36" Type="http://schemas.openxmlformats.org/officeDocument/2006/relationships/hyperlink" Target="https://doi.org/10.3928/00220124-20150320-14" TargetMode="External"/><Relationship Id="rId49" Type="http://schemas.openxmlformats.org/officeDocument/2006/relationships/hyperlink" Target="mailto:zfrenette@oaklan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8uYerDX8/olQ0oyI8kkf8YjsSw==">AMUW2mW+BccOOdAiwbCpOdA5TAj+SOyMySGMdS0UvJqyTqGch8aF+5bV5P09lRWGUhcgMBBJthBVtLUCji2qswvXxzFhMOJEgQwhHopm4nsDroPKRYky6t1Gk3zpgVpPpfY2UFDkC1HVpXrchqptkzzUn/sUtyNBVef7X4KA8vWT67q6sHmSBp5yrF7KtBu/WFip8HVAvjlNIcI0u5N+RV6UaW8YE2/NoRTfksm+75Lr/cRWKYgJFZM=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67</Pages>
  <Words>14693</Words>
  <Characters>83752</Characters>
  <Application>Microsoft Office Word</Application>
  <DocSecurity>0</DocSecurity>
  <Lines>697</Lines>
  <Paragraphs>196</Paragraphs>
  <ScaleCrop>false</ScaleCrop>
  <Company/>
  <LinksUpToDate>false</LinksUpToDate>
  <CharactersWithSpaces>98249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Rodgers</dc:creator>
  <cp:lastModifiedBy>Zach Frenette</cp:lastModifiedBy>
  <cp:revision>5</cp:revision>
  <dcterms:created xsi:type="dcterms:W3CDTF">2023-03-09T16:34:00Z</dcterms:created>
  <dcterms:modified xsi:type="dcterms:W3CDTF">2023-06-02T16:14:00Z</dcterms:modified>
</cp:coreProperties>
</file>